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431EB6A3" w:rsidR="00F17F5E" w:rsidRDefault="00F17F5E" w:rsidP="00F17F5E">
      <w:pPr>
        <w:pStyle w:val="3GPPHeader"/>
        <w:spacing w:after="60"/>
      </w:pPr>
      <w:r>
        <w:t>3GPP TSG-RAN WG1 Meeting #</w:t>
      </w:r>
      <w:r w:rsidR="003331D9">
        <w:t>11</w:t>
      </w:r>
      <w:r w:rsidR="00AC2AA7">
        <w:t>4</w:t>
      </w:r>
      <w:r>
        <w:tab/>
      </w:r>
      <w:r w:rsidR="00E72053" w:rsidRPr="00E72053">
        <w:t>R1-2307799</w:t>
      </w:r>
    </w:p>
    <w:p w14:paraId="554AA06A" w14:textId="3C168623" w:rsidR="00A0002A" w:rsidRPr="00CB5CA6" w:rsidRDefault="00AC2AA7" w:rsidP="00A0002A">
      <w:pPr>
        <w:pStyle w:val="3GPPHeader"/>
        <w:spacing w:after="60"/>
      </w:pPr>
      <w:r>
        <w:t>Toulouse</w:t>
      </w:r>
      <w:r w:rsidR="00730F5E" w:rsidRPr="00D53AC8">
        <w:t xml:space="preserve">, </w:t>
      </w:r>
      <w:r>
        <w:t>France</w:t>
      </w:r>
      <w:r w:rsidR="00730F5E">
        <w:t>,</w:t>
      </w:r>
      <w:r w:rsidR="00730F5E" w:rsidRPr="00D53AC8">
        <w:t xml:space="preserve"> </w:t>
      </w:r>
      <w:r>
        <w:t>August</w:t>
      </w:r>
      <w:r w:rsidR="00730F5E" w:rsidRPr="00B75A02">
        <w:t xml:space="preserve"> </w:t>
      </w:r>
      <w:r w:rsidR="00730F5E">
        <w:t>2</w:t>
      </w:r>
      <w:r>
        <w:t>1</w:t>
      </w:r>
      <w:r>
        <w:rPr>
          <w:vertAlign w:val="superscript"/>
        </w:rPr>
        <w:t>st</w:t>
      </w:r>
      <w:r w:rsidR="00730F5E" w:rsidRPr="00B75A02">
        <w:t xml:space="preserve"> – </w:t>
      </w:r>
      <w:r w:rsidR="00730F5E">
        <w:t>2</w:t>
      </w:r>
      <w:r>
        <w:t>5</w:t>
      </w:r>
      <w:r w:rsidR="00730F5E" w:rsidRPr="00F62AC9">
        <w:rPr>
          <w:vertAlign w:val="superscript"/>
        </w:rPr>
        <w:t>th</w:t>
      </w:r>
      <w:r w:rsidR="00730F5E" w:rsidRPr="00B75A02">
        <w:t>, 202</w:t>
      </w:r>
      <w:r w:rsidR="00730F5E">
        <w:t>3</w:t>
      </w:r>
    </w:p>
    <w:p w14:paraId="60A5317D" w14:textId="77777777" w:rsidR="00E90E49" w:rsidRPr="00CB5CA6" w:rsidRDefault="00E90E49" w:rsidP="00357380">
      <w:pPr>
        <w:pStyle w:val="3GPPHeader"/>
      </w:pPr>
    </w:p>
    <w:p w14:paraId="3C6869D1" w14:textId="39A3AE58"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227EE5" w:rsidRPr="00227EE5">
        <w:rPr>
          <w:sz w:val="22"/>
          <w:szCs w:val="22"/>
          <w:lang w:val="en-US"/>
        </w:rPr>
        <w:t>9</w:t>
      </w:r>
      <w:r w:rsidR="00615904" w:rsidRPr="00227EE5">
        <w:rPr>
          <w:sz w:val="22"/>
          <w:szCs w:val="22"/>
          <w:lang w:val="en-US"/>
        </w:rPr>
        <w:t>.</w:t>
      </w:r>
      <w:r w:rsidR="00227EE5" w:rsidRPr="00227EE5">
        <w:rPr>
          <w:sz w:val="22"/>
          <w:szCs w:val="22"/>
          <w:lang w:val="en-US"/>
        </w:rPr>
        <w:t>9</w:t>
      </w:r>
      <w:r w:rsidR="00615904" w:rsidRPr="00227EE5">
        <w:rPr>
          <w:sz w:val="22"/>
          <w:szCs w:val="22"/>
          <w:lang w:val="en-US"/>
        </w:rPr>
        <w:t>.</w:t>
      </w:r>
      <w:r w:rsidR="00227EE5" w:rsidRPr="00227EE5">
        <w:rPr>
          <w:sz w:val="22"/>
          <w:szCs w:val="22"/>
          <w:lang w:val="en-US"/>
        </w:rPr>
        <w:t>3</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ED73CC2" w:rsidR="00E90E49" w:rsidRPr="00CE0424" w:rsidRDefault="003D3C45" w:rsidP="00311702">
      <w:pPr>
        <w:pStyle w:val="3GPPHeader"/>
        <w:rPr>
          <w:sz w:val="22"/>
          <w:szCs w:val="22"/>
        </w:rPr>
      </w:pPr>
      <w:r>
        <w:rPr>
          <w:sz w:val="22"/>
          <w:szCs w:val="22"/>
        </w:rPr>
        <w:t>Title:</w:t>
      </w:r>
      <w:r w:rsidR="00E90E49" w:rsidRPr="00CE0424">
        <w:rPr>
          <w:sz w:val="22"/>
          <w:szCs w:val="22"/>
        </w:rPr>
        <w:tab/>
      </w:r>
      <w:r w:rsidR="00C5630B" w:rsidRPr="00C5630B">
        <w:rPr>
          <w:sz w:val="22"/>
          <w:szCs w:val="22"/>
        </w:rPr>
        <w:t xml:space="preserve">On </w:t>
      </w:r>
      <w:r w:rsidR="00E12127" w:rsidRPr="00E12127">
        <w:rPr>
          <w:sz w:val="22"/>
          <w:szCs w:val="22"/>
        </w:rPr>
        <w:t>disabling HARQ feedback for IoT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6DB17894" w:rsidR="005918B3" w:rsidRDefault="00956021" w:rsidP="00956021">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E12127">
        <w:rPr>
          <w:rFonts w:ascii="Times New Roman" w:hAnsi="Times New Roman"/>
        </w:rPr>
        <w:t>8</w:t>
      </w:r>
      <w:r w:rsidR="0090011D">
        <w:rPr>
          <w:rFonts w:ascii="Times New Roman" w:hAnsi="Times New Roman"/>
        </w:rPr>
        <w:t xml:space="preserve"> </w:t>
      </w:r>
      <w:r w:rsidRPr="00956021">
        <w:rPr>
          <w:rFonts w:ascii="Times New Roman" w:hAnsi="Times New Roman"/>
        </w:rPr>
        <w:t>“</w:t>
      </w:r>
      <w:r w:rsidR="00E12127" w:rsidRPr="00E12127">
        <w:rPr>
          <w:rFonts w:ascii="Times New Roman" w:hAnsi="Times New Roman"/>
        </w:rPr>
        <w:t>WID on IoT NTN enhancements</w:t>
      </w:r>
      <w:r w:rsidRPr="00956021">
        <w:rPr>
          <w:rFonts w:ascii="Times New Roman" w:hAnsi="Times New Roman"/>
        </w:rPr>
        <w:t>” [1</w:t>
      </w:r>
      <w:r w:rsidR="005918B3">
        <w:rPr>
          <w:rFonts w:ascii="Times New Roman" w:hAnsi="Times New Roman"/>
        </w:rPr>
        <w:t xml:space="preserve">] </w:t>
      </w:r>
      <w:r w:rsidR="00AA57B5">
        <w:rPr>
          <w:rFonts w:ascii="Times New Roman" w:hAnsi="Times New Roman"/>
        </w:rPr>
        <w:t>include</w:t>
      </w:r>
      <w:r w:rsidR="00E12127">
        <w:rPr>
          <w:rFonts w:ascii="Times New Roman" w:hAnsi="Times New Roman"/>
        </w:rPr>
        <w:t>s the following objectives touching upon RAN1:</w:t>
      </w:r>
    </w:p>
    <w:tbl>
      <w:tblPr>
        <w:tblStyle w:val="TableGrid"/>
        <w:tblW w:w="0" w:type="auto"/>
        <w:tblLook w:val="04A0" w:firstRow="1" w:lastRow="0" w:firstColumn="1" w:lastColumn="0" w:noHBand="0" w:noVBand="1"/>
      </w:tblPr>
      <w:tblGrid>
        <w:gridCol w:w="9629"/>
      </w:tblGrid>
      <w:tr w:rsidR="00E12127" w14:paraId="738C8BAF" w14:textId="77777777" w:rsidTr="00E12127">
        <w:tc>
          <w:tcPr>
            <w:tcW w:w="9629" w:type="dxa"/>
          </w:tcPr>
          <w:p w14:paraId="188500A8" w14:textId="77777777" w:rsidR="00E12127" w:rsidRPr="008341AC" w:rsidRDefault="00E12127" w:rsidP="00E12127">
            <w:pPr>
              <w:rPr>
                <w:rFonts w:eastAsia="Times New Roman"/>
                <w:sz w:val="14"/>
                <w:szCs w:val="14"/>
                <w:lang w:eastAsia="zh-TW"/>
              </w:rPr>
            </w:pPr>
            <w:r w:rsidRPr="008341AC">
              <w:rPr>
                <w:rFonts w:eastAsia="Times New Roman"/>
                <w:sz w:val="14"/>
                <w:szCs w:val="14"/>
                <w:lang w:eastAsia="zh-TW"/>
              </w:rPr>
              <w:t>4.1.1</w:t>
            </w:r>
            <w:r w:rsidRPr="008341AC">
              <w:rPr>
                <w:rFonts w:eastAsia="Times New Roman"/>
                <w:sz w:val="14"/>
                <w:szCs w:val="14"/>
                <w:lang w:eastAsia="zh-TW"/>
              </w:rPr>
              <w:tab/>
              <w:t>IoT-NTN Performance Enhancements in Rel-18 to address remaining issues from Rel-17</w:t>
            </w:r>
          </w:p>
          <w:p w14:paraId="4176E334" w14:textId="77777777" w:rsidR="00E12127" w:rsidRPr="008341AC" w:rsidRDefault="00E12127" w:rsidP="00E12127">
            <w:pPr>
              <w:rPr>
                <w:rFonts w:eastAsia="Times New Roman"/>
                <w:sz w:val="14"/>
                <w:szCs w:val="14"/>
                <w:lang w:eastAsia="zh-TW"/>
              </w:rPr>
            </w:pPr>
            <w:r w:rsidRPr="008341AC">
              <w:rPr>
                <w:rFonts w:eastAsia="Times New Roman"/>
                <w:sz w:val="14"/>
                <w:szCs w:val="14"/>
                <w:lang w:eastAsia="zh-TW"/>
              </w:rPr>
              <w:t>This work considers Rel-17 IoT-NTN as baseline as well as Rel-17 NR-NTN outcome and the further IoT-NTN performance enhancements objectives are listed below:</w:t>
            </w:r>
          </w:p>
          <w:p w14:paraId="08F7283F" w14:textId="77777777" w:rsidR="00E12127" w:rsidRPr="008341AC" w:rsidRDefault="00E12127" w:rsidP="00E12127">
            <w:pPr>
              <w:ind w:left="568" w:hanging="284"/>
              <w:rPr>
                <w:rFonts w:eastAsia="Times New Roman"/>
                <w:sz w:val="14"/>
                <w:szCs w:val="14"/>
                <w:lang w:eastAsia="zh-TW"/>
              </w:rPr>
            </w:pPr>
            <w:r w:rsidRPr="008341AC">
              <w:rPr>
                <w:rFonts w:eastAsia="Times New Roman"/>
                <w:sz w:val="14"/>
                <w:szCs w:val="14"/>
                <w:lang w:eastAsia="zh-TW"/>
              </w:rPr>
              <w:t>-</w:t>
            </w:r>
            <w:r w:rsidRPr="008341AC">
              <w:rPr>
                <w:rFonts w:eastAsia="Times New Roman"/>
                <w:sz w:val="14"/>
                <w:szCs w:val="14"/>
                <w:lang w:eastAsia="zh-TW"/>
              </w:rPr>
              <w:tab/>
              <w:t>Disabling of HARQ feedback to mitigate impact of HARQ stalling on UE data rates [RAN1,RAN2]</w:t>
            </w:r>
          </w:p>
          <w:p w14:paraId="0CCFB103" w14:textId="77777777" w:rsidR="00E12127" w:rsidRPr="008341AC" w:rsidRDefault="00E12127" w:rsidP="00E12127">
            <w:pPr>
              <w:ind w:left="568" w:hanging="284"/>
              <w:rPr>
                <w:rFonts w:eastAsia="Times New Roman"/>
                <w:sz w:val="14"/>
                <w:szCs w:val="14"/>
                <w:lang w:eastAsia="zh-TW"/>
              </w:rPr>
            </w:pPr>
            <w:r w:rsidRPr="008341AC">
              <w:rPr>
                <w:rFonts w:eastAsia="Times New Roman"/>
                <w:sz w:val="14"/>
                <w:szCs w:val="14"/>
                <w:lang w:eastAsia="zh-TW"/>
              </w:rPr>
              <w:t>-</w:t>
            </w:r>
            <w:r w:rsidRPr="008341AC">
              <w:rPr>
                <w:rFonts w:eastAsia="Times New Roman"/>
                <w:sz w:val="14"/>
                <w:szCs w:val="14"/>
                <w:lang w:eastAsia="zh-TW"/>
              </w:rPr>
              <w:tab/>
              <w:t xml:space="preserve">Study and specify, if needed, improved GNSS operations for a new position fix for UE pre-compensation during long connection times and for reduced power consumption. </w:t>
            </w:r>
            <w:r w:rsidRPr="008341AC">
              <w:rPr>
                <w:rFonts w:eastAsia="Times New Roman"/>
                <w:sz w:val="14"/>
                <w:szCs w:val="14"/>
                <w:lang w:eastAsia="zh-CN"/>
              </w:rPr>
              <w:t>Simultaneous GNSS and NTN NB-IoT/eMTC operation is not assumed.</w:t>
            </w:r>
            <w:r w:rsidRPr="008341AC">
              <w:rPr>
                <w:rFonts w:eastAsia="Times New Roman"/>
                <w:sz w:val="14"/>
                <w:szCs w:val="14"/>
                <w:lang w:eastAsia="zh-TW"/>
              </w:rPr>
              <w:t xml:space="preserve"> [RAN1]</w:t>
            </w:r>
          </w:p>
          <w:p w14:paraId="1D9EE38E" w14:textId="16C67571" w:rsidR="00E12127" w:rsidRDefault="00E12127" w:rsidP="00B213B9">
            <w:pPr>
              <w:pStyle w:val="BodyText"/>
              <w:numPr>
                <w:ilvl w:val="0"/>
                <w:numId w:val="17"/>
              </w:numPr>
              <w:rPr>
                <w:rFonts w:ascii="Times New Roman" w:hAnsi="Times New Roman"/>
              </w:rPr>
            </w:pPr>
            <w:r w:rsidRPr="008341AC">
              <w:rPr>
                <w:rFonts w:ascii="Times New Roman" w:eastAsia="Times New Roman" w:hAnsi="Times New Roman"/>
                <w:i/>
                <w:sz w:val="14"/>
                <w:szCs w:val="14"/>
                <w:lang w:val="en-GB" w:eastAsia="zh-TW"/>
              </w:rPr>
              <w:t>NOTE: The need for RAN4 Core requirements for this objective will be identified after the conclusion on the need for improvements.</w:t>
            </w:r>
          </w:p>
        </w:tc>
      </w:tr>
    </w:tbl>
    <w:p w14:paraId="41BF628D" w14:textId="77777777" w:rsidR="00E12127" w:rsidRDefault="00E12127" w:rsidP="00956021">
      <w:pPr>
        <w:pStyle w:val="BodyText"/>
        <w:rPr>
          <w:rFonts w:ascii="Times New Roman" w:hAnsi="Times New Roman"/>
        </w:rPr>
      </w:pPr>
    </w:p>
    <w:p w14:paraId="4124D373" w14:textId="3880C441" w:rsidR="00956021" w:rsidRDefault="005918B3" w:rsidP="00956021">
      <w:pPr>
        <w:pStyle w:val="BodyText"/>
        <w:rPr>
          <w:rFonts w:ascii="Times New Roman" w:hAnsi="Times New Roman"/>
        </w:rPr>
      </w:pPr>
      <w:r>
        <w:rPr>
          <w:rFonts w:ascii="Times New Roman" w:hAnsi="Times New Roman"/>
        </w:rPr>
        <w:t xml:space="preserve">In </w:t>
      </w:r>
      <w:r w:rsidR="003A655F">
        <w:rPr>
          <w:rFonts w:ascii="Times New Roman" w:hAnsi="Times New Roman"/>
        </w:rPr>
        <w:t xml:space="preserve">this contribution we provide our </w:t>
      </w:r>
      <w:r w:rsidR="00AA57B5">
        <w:rPr>
          <w:rFonts w:ascii="Times New Roman" w:hAnsi="Times New Roman"/>
        </w:rPr>
        <w:t xml:space="preserve">views </w:t>
      </w:r>
      <w:r w:rsidR="00590BE2">
        <w:rPr>
          <w:rFonts w:ascii="Times New Roman" w:hAnsi="Times New Roman"/>
        </w:rPr>
        <w:t>on the first sub-bullet related with “</w:t>
      </w:r>
      <w:r w:rsidR="00590BE2" w:rsidRPr="00590BE2">
        <w:rPr>
          <w:rFonts w:ascii="Times New Roman" w:hAnsi="Times New Roman"/>
          <w:i/>
          <w:iCs/>
        </w:rPr>
        <w:t>Disabling of HARQ feedback to mitigate impact of HARQ stalling on UE data rates</w:t>
      </w:r>
      <w:r w:rsidR="00590BE2">
        <w:rPr>
          <w:rFonts w:ascii="Times New Roman" w:hAnsi="Times New Roman"/>
        </w:rPr>
        <w:t>”, for both LTE-MTC and NB-IoT</w:t>
      </w:r>
      <w:r w:rsidR="00CC46CE">
        <w:rPr>
          <w:rFonts w:ascii="Times New Roman" w:hAnsi="Times New Roman"/>
        </w:rPr>
        <w:t>.</w:t>
      </w:r>
    </w:p>
    <w:p w14:paraId="53665563" w14:textId="60DE634B" w:rsidR="00950592" w:rsidRDefault="0028640C" w:rsidP="00950592">
      <w:pPr>
        <w:pStyle w:val="Heading1"/>
      </w:pPr>
      <w:r>
        <w:t>2</w:t>
      </w:r>
      <w:r w:rsidR="00950592">
        <w:tab/>
      </w:r>
      <w:r w:rsidR="00345AEC">
        <w:t>Follow-up: “</w:t>
      </w:r>
      <w:r w:rsidR="00345AEC" w:rsidRPr="003048E2">
        <w:rPr>
          <w:rFonts w:ascii="Times New Roman" w:hAnsi="Times New Roman"/>
          <w:i/>
          <w:iCs/>
        </w:rPr>
        <w:t xml:space="preserve">to configure/indicate enabling/disabling on HARQ feedback for downlink </w:t>
      </w:r>
      <w:proofErr w:type="gramStart"/>
      <w:r w:rsidR="00345AEC" w:rsidRPr="003048E2">
        <w:rPr>
          <w:rFonts w:ascii="Times New Roman" w:hAnsi="Times New Roman"/>
          <w:i/>
          <w:iCs/>
        </w:rPr>
        <w:t>transmission</w:t>
      </w:r>
      <w:r w:rsidR="00345AEC">
        <w:t>”</w:t>
      </w:r>
      <w:proofErr w:type="gramEnd"/>
    </w:p>
    <w:p w14:paraId="005F4660" w14:textId="2FCE5556" w:rsidR="004E31D7" w:rsidRDefault="004E31D7" w:rsidP="004E31D7">
      <w:pPr>
        <w:pStyle w:val="BodyText"/>
        <w:rPr>
          <w:rFonts w:ascii="Times New Roman" w:hAnsi="Times New Roman"/>
          <w:lang w:eastAsia="ja-JP"/>
        </w:rPr>
      </w:pPr>
      <w:r>
        <w:rPr>
          <w:rFonts w:ascii="Times New Roman" w:hAnsi="Times New Roman"/>
          <w:lang w:eastAsia="ja-JP"/>
        </w:rPr>
        <w:t>F</w:t>
      </w:r>
      <w:r w:rsidRPr="004E31D7">
        <w:rPr>
          <w:rFonts w:ascii="Times New Roman" w:hAnsi="Times New Roman"/>
          <w:lang w:eastAsia="ja-JP"/>
        </w:rPr>
        <w:t>or “</w:t>
      </w:r>
      <w:r w:rsidRPr="004E31D7">
        <w:rPr>
          <w:rFonts w:ascii="Times New Roman" w:hAnsi="Times New Roman"/>
          <w:i/>
          <w:iCs/>
          <w:lang w:eastAsia="ja-JP"/>
        </w:rPr>
        <w:t>enabling and disabling of HARQ feedback via DCI</w:t>
      </w:r>
      <w:r w:rsidRPr="004E31D7">
        <w:rPr>
          <w:rFonts w:ascii="Times New Roman" w:hAnsi="Times New Roman"/>
          <w:lang w:eastAsia="ja-JP"/>
        </w:rPr>
        <w:t>”</w:t>
      </w:r>
      <w:r>
        <w:rPr>
          <w:rFonts w:ascii="Times New Roman" w:hAnsi="Times New Roman"/>
          <w:lang w:eastAsia="ja-JP"/>
        </w:rPr>
        <w:t xml:space="preserve"> two solutions have been agreed to be supported:</w:t>
      </w:r>
    </w:p>
    <w:p w14:paraId="19AC9D7C" w14:textId="1C39DBA9" w:rsidR="004E31D7" w:rsidRDefault="004E31D7" w:rsidP="00BD3507">
      <w:pPr>
        <w:pStyle w:val="BodyText"/>
        <w:numPr>
          <w:ilvl w:val="0"/>
          <w:numId w:val="38"/>
        </w:numPr>
        <w:rPr>
          <w:rFonts w:ascii="Times New Roman" w:hAnsi="Times New Roman"/>
          <w:lang w:eastAsia="ja-JP"/>
        </w:rPr>
      </w:pPr>
      <w:r w:rsidRPr="004E31D7">
        <w:rPr>
          <w:rFonts w:ascii="Times New Roman" w:hAnsi="Times New Roman"/>
          <w:lang w:eastAsia="ja-JP"/>
        </w:rPr>
        <w:t xml:space="preserve">DCI-direct indication solution: When there is no bitmap and only </w:t>
      </w:r>
      <w:r w:rsidR="00941EF3">
        <w:rPr>
          <w:rFonts w:ascii="Times New Roman" w:hAnsi="Times New Roman"/>
        </w:rPr>
        <w:t>“</w:t>
      </w:r>
      <w:r w:rsidRPr="004E31D7">
        <w:rPr>
          <w:rFonts w:ascii="Times New Roman" w:hAnsi="Times New Roman"/>
          <w:lang w:eastAsia="ja-JP"/>
        </w:rPr>
        <w:t>DCI-based-HARQfeedback-switching” is configured, the DCI design directly indicates HARQ feedback Enabled or Disabled.</w:t>
      </w:r>
    </w:p>
    <w:p w14:paraId="0E3CEBAA" w14:textId="5573F17E" w:rsidR="00941EF3" w:rsidRDefault="00941EF3" w:rsidP="00BD3507">
      <w:pPr>
        <w:pStyle w:val="BodyText"/>
        <w:numPr>
          <w:ilvl w:val="0"/>
          <w:numId w:val="38"/>
        </w:numPr>
        <w:rPr>
          <w:rFonts w:ascii="Times New Roman" w:hAnsi="Times New Roman"/>
          <w:lang w:eastAsia="ja-JP"/>
        </w:rPr>
      </w:pPr>
      <w:r w:rsidRPr="00941EF3">
        <w:rPr>
          <w:rFonts w:ascii="Times New Roman" w:hAnsi="Times New Roman"/>
          <w:lang w:eastAsia="ja-JP"/>
        </w:rPr>
        <w:t>DCI-based Overriding solution: When there is a bitmap because both an</w:t>
      </w:r>
      <w:r>
        <w:rPr>
          <w:rFonts w:ascii="Times New Roman" w:hAnsi="Times New Roman"/>
          <w:lang w:eastAsia="ja-JP"/>
        </w:rPr>
        <w:t xml:space="preserve"> </w:t>
      </w:r>
      <w:r>
        <w:rPr>
          <w:rFonts w:ascii="Times New Roman" w:hAnsi="Times New Roman"/>
        </w:rPr>
        <w:t>“</w:t>
      </w:r>
      <w:r w:rsidRPr="00941EF3">
        <w:rPr>
          <w:rFonts w:ascii="Times New Roman" w:hAnsi="Times New Roman"/>
          <w:lang w:eastAsia="ja-JP"/>
        </w:rPr>
        <w:t xml:space="preserve">RRC-based-HARQfeedback-switching” and </w:t>
      </w:r>
      <w:r>
        <w:rPr>
          <w:rFonts w:ascii="Times New Roman" w:hAnsi="Times New Roman"/>
        </w:rPr>
        <w:t>“</w:t>
      </w:r>
      <w:r w:rsidRPr="00941EF3">
        <w:rPr>
          <w:rFonts w:ascii="Times New Roman" w:hAnsi="Times New Roman"/>
          <w:lang w:eastAsia="ja-JP"/>
        </w:rPr>
        <w:t xml:space="preserve">DCI-based-HARQfeedback-switching” are configured, </w:t>
      </w:r>
      <w:r w:rsidR="00227EE5">
        <w:rPr>
          <w:rFonts w:ascii="Times New Roman" w:hAnsi="Times New Roman"/>
          <w:lang w:eastAsia="ja-JP"/>
        </w:rPr>
        <w:t xml:space="preserve">then </w:t>
      </w:r>
      <w:r w:rsidRPr="00941EF3">
        <w:rPr>
          <w:rFonts w:ascii="Times New Roman" w:hAnsi="Times New Roman"/>
          <w:lang w:eastAsia="ja-JP"/>
        </w:rPr>
        <w:t xml:space="preserve">for a given transmission the </w:t>
      </w:r>
      <w:r w:rsidR="00227EE5">
        <w:rPr>
          <w:rFonts w:ascii="Times New Roman" w:hAnsi="Times New Roman"/>
        </w:rPr>
        <w:t>“</w:t>
      </w:r>
      <w:r w:rsidRPr="00941EF3">
        <w:rPr>
          <w:rFonts w:ascii="Times New Roman" w:hAnsi="Times New Roman"/>
          <w:lang w:eastAsia="ja-JP"/>
        </w:rPr>
        <w:t>DCI-based-HARQfeedback-switching” is empowered to override or not the semi-statically configured status of the HARQ feedback.</w:t>
      </w:r>
    </w:p>
    <w:p w14:paraId="22D3C535" w14:textId="6B6FA5A4" w:rsidR="00950592" w:rsidRDefault="00941EF3" w:rsidP="004E31D7">
      <w:pPr>
        <w:pStyle w:val="BodyText"/>
        <w:rPr>
          <w:rFonts w:ascii="Times New Roman" w:hAnsi="Times New Roman"/>
          <w:lang w:eastAsia="ja-JP"/>
        </w:rPr>
      </w:pPr>
      <w:r>
        <w:rPr>
          <w:rFonts w:ascii="Times New Roman" w:hAnsi="Times New Roman"/>
          <w:lang w:eastAsia="ja-JP"/>
        </w:rPr>
        <w:t>B</w:t>
      </w:r>
      <w:r w:rsidR="00FE3B36">
        <w:rPr>
          <w:rFonts w:ascii="Times New Roman" w:hAnsi="Times New Roman"/>
          <w:lang w:eastAsia="ja-JP"/>
        </w:rPr>
        <w:t>e</w:t>
      </w:r>
      <w:r>
        <w:rPr>
          <w:rFonts w:ascii="Times New Roman" w:hAnsi="Times New Roman"/>
          <w:lang w:eastAsia="ja-JP"/>
        </w:rPr>
        <w:t>low we</w:t>
      </w:r>
      <w:r w:rsidR="00FE3B36">
        <w:rPr>
          <w:rFonts w:ascii="Times New Roman" w:hAnsi="Times New Roman"/>
          <w:lang w:eastAsia="ja-JP"/>
        </w:rPr>
        <w:t xml:space="preserve"> provide </w:t>
      </w:r>
      <w:r w:rsidR="0083311F">
        <w:rPr>
          <w:rFonts w:ascii="Times New Roman" w:hAnsi="Times New Roman"/>
          <w:lang w:eastAsia="ja-JP"/>
        </w:rPr>
        <w:t>our view</w:t>
      </w:r>
      <w:r>
        <w:rPr>
          <w:rFonts w:ascii="Times New Roman" w:hAnsi="Times New Roman"/>
          <w:lang w:eastAsia="ja-JP"/>
        </w:rPr>
        <w:t>s</w:t>
      </w:r>
      <w:r w:rsidR="00062571">
        <w:rPr>
          <w:rFonts w:ascii="Times New Roman" w:hAnsi="Times New Roman"/>
          <w:lang w:eastAsia="ja-JP"/>
        </w:rPr>
        <w:t xml:space="preserve"> on</w:t>
      </w:r>
      <w:r w:rsidR="0051533F">
        <w:rPr>
          <w:rFonts w:ascii="Times New Roman" w:hAnsi="Times New Roman"/>
          <w:lang w:eastAsia="ja-JP"/>
        </w:rPr>
        <w:t xml:space="preserve"> </w:t>
      </w:r>
      <w:r w:rsidR="00FE3B36">
        <w:rPr>
          <w:rFonts w:ascii="Times New Roman" w:hAnsi="Times New Roman"/>
          <w:lang w:eastAsia="ja-JP"/>
        </w:rPr>
        <w:t xml:space="preserve">the </w:t>
      </w:r>
      <w:r>
        <w:rPr>
          <w:rFonts w:ascii="Times New Roman" w:hAnsi="Times New Roman"/>
          <w:lang w:eastAsia="ja-JP"/>
        </w:rPr>
        <w:t>Working Assumptions for the “DCI-direct indication” and the “DCI-based overriding solution” in section 2.1 and 2.2 respectively</w:t>
      </w:r>
      <w:r w:rsidR="0051533F">
        <w:rPr>
          <w:rFonts w:ascii="Times New Roman" w:hAnsi="Times New Roman"/>
          <w:lang w:eastAsia="ja-JP"/>
        </w:rPr>
        <w:t>.</w:t>
      </w:r>
    </w:p>
    <w:p w14:paraId="3B8B39B9" w14:textId="53B27D27" w:rsidR="00051B76" w:rsidRDefault="00051B76" w:rsidP="00051B76">
      <w:pPr>
        <w:pStyle w:val="Heading2"/>
      </w:pPr>
      <w:r>
        <w:t>2.1</w:t>
      </w:r>
      <w:r>
        <w:tab/>
      </w:r>
      <w:r w:rsidR="00941EF3">
        <w:t>Working Assumption on the</w:t>
      </w:r>
      <w:r>
        <w:t xml:space="preserve"> “</w:t>
      </w:r>
      <w:r w:rsidR="00941EF3">
        <w:rPr>
          <w:rFonts w:ascii="Times New Roman" w:hAnsi="Times New Roman"/>
          <w:i/>
          <w:iCs/>
        </w:rPr>
        <w:t>DCI-</w:t>
      </w:r>
      <w:r w:rsidR="002C7552">
        <w:rPr>
          <w:rFonts w:ascii="Times New Roman" w:hAnsi="Times New Roman"/>
          <w:i/>
          <w:iCs/>
        </w:rPr>
        <w:t xml:space="preserve">based </w:t>
      </w:r>
      <w:r w:rsidR="00941EF3">
        <w:rPr>
          <w:rFonts w:ascii="Times New Roman" w:hAnsi="Times New Roman"/>
          <w:i/>
          <w:iCs/>
        </w:rPr>
        <w:t>direct indication</w:t>
      </w:r>
      <w:r>
        <w:t>”</w:t>
      </w:r>
      <w:r w:rsidR="00941EF3">
        <w:t xml:space="preserve"> </w:t>
      </w:r>
      <w:proofErr w:type="gramStart"/>
      <w:r w:rsidR="00941EF3">
        <w:t>solution</w:t>
      </w:r>
      <w:proofErr w:type="gramEnd"/>
    </w:p>
    <w:p w14:paraId="2CD7196A" w14:textId="1483365E" w:rsidR="00941EF3" w:rsidRDefault="00DC141A" w:rsidP="00051B76">
      <w:pPr>
        <w:jc w:val="both"/>
      </w:pPr>
      <w:r>
        <w:t xml:space="preserve">For </w:t>
      </w:r>
      <w:r w:rsidRPr="00DC141A">
        <w:t>“DCI-based direct indication</w:t>
      </w:r>
      <w:r>
        <w:t>,</w:t>
      </w:r>
      <w:r w:rsidRPr="00DC141A">
        <w:t>”</w:t>
      </w:r>
      <w:r>
        <w:t xml:space="preserve"> in</w:t>
      </w:r>
      <w:r w:rsidR="0013317E">
        <w:t xml:space="preserve"> RAN1# 113 the following Working Assumption (WA) was reached</w:t>
      </w:r>
      <w:r w:rsidR="00222873">
        <w:t xml:space="preserve"> [2]</w:t>
      </w:r>
      <w:r w:rsidR="0013317E">
        <w:t>:</w:t>
      </w:r>
    </w:p>
    <w:tbl>
      <w:tblPr>
        <w:tblStyle w:val="TableGrid"/>
        <w:tblW w:w="0" w:type="auto"/>
        <w:tblLook w:val="04A0" w:firstRow="1" w:lastRow="0" w:firstColumn="1" w:lastColumn="0" w:noHBand="0" w:noVBand="1"/>
      </w:tblPr>
      <w:tblGrid>
        <w:gridCol w:w="9629"/>
      </w:tblGrid>
      <w:tr w:rsidR="0013317E" w14:paraId="0D2D1E0C" w14:textId="77777777" w:rsidTr="0013317E">
        <w:tc>
          <w:tcPr>
            <w:tcW w:w="9629" w:type="dxa"/>
          </w:tcPr>
          <w:p w14:paraId="77F58D4B" w14:textId="77777777" w:rsidR="0013317E" w:rsidRPr="0013317E" w:rsidRDefault="0013317E" w:rsidP="0013317E">
            <w:pPr>
              <w:overflowPunct/>
              <w:autoSpaceDE/>
              <w:autoSpaceDN/>
              <w:adjustRightInd/>
              <w:spacing w:after="0"/>
              <w:textAlignment w:val="auto"/>
              <w:rPr>
                <w:rFonts w:ascii="Times" w:eastAsia="Batang" w:hAnsi="Times"/>
                <w:b/>
                <w:sz w:val="14"/>
                <w:szCs w:val="16"/>
                <w:lang w:eastAsia="x-none"/>
              </w:rPr>
            </w:pPr>
            <w:r w:rsidRPr="0013317E">
              <w:rPr>
                <w:rFonts w:ascii="Times" w:eastAsia="Batang" w:hAnsi="Times"/>
                <w:b/>
                <w:sz w:val="14"/>
                <w:szCs w:val="16"/>
                <w:highlight w:val="darkYellow"/>
                <w:lang w:eastAsia="x-none"/>
              </w:rPr>
              <w:t>Working assumption</w:t>
            </w:r>
          </w:p>
          <w:p w14:paraId="223A6B83" w14:textId="77777777" w:rsidR="0013317E" w:rsidRPr="0013317E" w:rsidRDefault="0013317E" w:rsidP="0013317E">
            <w:pPr>
              <w:overflowPunct/>
              <w:autoSpaceDE/>
              <w:autoSpaceDN/>
              <w:adjustRightInd/>
              <w:spacing w:after="0"/>
              <w:textAlignment w:val="auto"/>
              <w:rPr>
                <w:rFonts w:ascii="Times" w:eastAsia="Batang" w:hAnsi="Times"/>
                <w:sz w:val="14"/>
                <w:szCs w:val="8"/>
                <w:lang w:eastAsia="en-US"/>
              </w:rPr>
            </w:pPr>
            <w:r w:rsidRPr="0013317E">
              <w:rPr>
                <w:rFonts w:ascii="Times" w:eastAsia="Batang" w:hAnsi="Times"/>
                <w:sz w:val="14"/>
                <w:szCs w:val="8"/>
                <w:lang w:eastAsia="en-US"/>
              </w:rPr>
              <w:t xml:space="preserve">For DCI-based direct indication in single TB scheduled by DCI, </w:t>
            </w:r>
          </w:p>
          <w:p w14:paraId="363B3E68" w14:textId="77777777" w:rsidR="0013317E" w:rsidRPr="0013317E" w:rsidRDefault="0013317E" w:rsidP="00BD3507">
            <w:pPr>
              <w:numPr>
                <w:ilvl w:val="0"/>
                <w:numId w:val="39"/>
              </w:numPr>
              <w:spacing w:after="0"/>
              <w:contextualSpacing/>
              <w:rPr>
                <w:rFonts w:eastAsia="Batang"/>
                <w:sz w:val="14"/>
                <w:szCs w:val="14"/>
                <w:lang w:eastAsia="x-none"/>
              </w:rPr>
            </w:pPr>
            <w:r w:rsidRPr="0013317E">
              <w:rPr>
                <w:rFonts w:eastAsia="Batang"/>
                <w:sz w:val="14"/>
                <w:szCs w:val="14"/>
                <w:lang w:eastAsia="x-none"/>
              </w:rPr>
              <w:t>Indication by reusing/reinterpreting HARQ-ACK related field in DCI</w:t>
            </w:r>
          </w:p>
          <w:p w14:paraId="19D5F001" w14:textId="77777777" w:rsidR="0013317E" w:rsidRPr="0013317E" w:rsidRDefault="0013317E" w:rsidP="00BD3507">
            <w:pPr>
              <w:numPr>
                <w:ilvl w:val="2"/>
                <w:numId w:val="39"/>
              </w:numPr>
              <w:spacing w:after="0"/>
              <w:ind w:left="1800"/>
              <w:contextualSpacing/>
              <w:rPr>
                <w:rFonts w:eastAsia="Batang"/>
                <w:sz w:val="14"/>
                <w:szCs w:val="14"/>
                <w:lang w:eastAsia="x-none"/>
              </w:rPr>
            </w:pPr>
            <w:r w:rsidRPr="0013317E">
              <w:rPr>
                <w:rFonts w:eastAsia="Batang"/>
                <w:sz w:val="14"/>
                <w:szCs w:val="14"/>
                <w:lang w:eastAsia="x-none"/>
              </w:rPr>
              <w:t>For eMTC CE mode B, one state of “HARQ-ACK resource offset” field in DCI format 6-1B is used for indication of HARQ feedback disabled, other states are used for indication of HARQ feedback enabled and corresponding HARQ-ACK resource.</w:t>
            </w:r>
          </w:p>
          <w:p w14:paraId="3F651022" w14:textId="77777777" w:rsidR="0013317E" w:rsidRPr="0013317E" w:rsidRDefault="0013317E" w:rsidP="00BD3507">
            <w:pPr>
              <w:numPr>
                <w:ilvl w:val="3"/>
                <w:numId w:val="39"/>
              </w:numPr>
              <w:spacing w:after="0"/>
              <w:ind w:left="2520"/>
              <w:contextualSpacing/>
              <w:rPr>
                <w:rFonts w:eastAsia="Batang"/>
                <w:sz w:val="14"/>
                <w:szCs w:val="14"/>
                <w:lang w:eastAsia="x-none"/>
              </w:rPr>
            </w:pPr>
            <w:r w:rsidRPr="0013317E">
              <w:rPr>
                <w:rFonts w:eastAsia="Batang"/>
                <w:sz w:val="14"/>
                <w:szCs w:val="14"/>
                <w:lang w:eastAsia="x-none"/>
              </w:rPr>
              <w:t>FFS: detailed state, and whether this state is different across different UEs</w:t>
            </w:r>
          </w:p>
          <w:p w14:paraId="2328C3EB" w14:textId="77777777" w:rsidR="0013317E" w:rsidRPr="0013317E" w:rsidRDefault="0013317E" w:rsidP="00BD3507">
            <w:pPr>
              <w:numPr>
                <w:ilvl w:val="2"/>
                <w:numId w:val="39"/>
              </w:numPr>
              <w:spacing w:after="0"/>
              <w:ind w:left="1800"/>
              <w:contextualSpacing/>
              <w:rPr>
                <w:rFonts w:eastAsia="Batang"/>
                <w:sz w:val="14"/>
                <w:szCs w:val="14"/>
                <w:lang w:eastAsia="x-none"/>
              </w:rPr>
            </w:pPr>
            <w:r w:rsidRPr="0013317E">
              <w:rPr>
                <w:rFonts w:eastAsia="Batang"/>
                <w:sz w:val="14"/>
                <w:szCs w:val="14"/>
                <w:lang w:eastAsia="x-none"/>
              </w:rPr>
              <w:lastRenderedPageBreak/>
              <w:t>For NBIoT, one state of “HARQ-ACK resource” field in DCI format N1 is used for indication of HARQ feedback disabled, other states are used for indication of HARQ feedback enabled and corresponding HARQ-ACK resource.</w:t>
            </w:r>
          </w:p>
          <w:p w14:paraId="6DF0C07F" w14:textId="77777777" w:rsidR="0013317E" w:rsidRPr="0013317E" w:rsidRDefault="0013317E" w:rsidP="00BD3507">
            <w:pPr>
              <w:numPr>
                <w:ilvl w:val="3"/>
                <w:numId w:val="39"/>
              </w:numPr>
              <w:spacing w:after="0"/>
              <w:ind w:left="2520"/>
              <w:contextualSpacing/>
              <w:rPr>
                <w:rFonts w:eastAsia="Batang"/>
                <w:sz w:val="14"/>
                <w:szCs w:val="14"/>
                <w:lang w:eastAsia="zh-CN"/>
              </w:rPr>
            </w:pPr>
            <w:r w:rsidRPr="0013317E">
              <w:rPr>
                <w:rFonts w:eastAsia="Batang"/>
                <w:sz w:val="14"/>
                <w:szCs w:val="14"/>
                <w:lang w:eastAsia="zh-CN"/>
              </w:rPr>
              <w:t>FFS: detailed state</w:t>
            </w:r>
            <w:r w:rsidRPr="0013317E">
              <w:rPr>
                <w:rFonts w:eastAsia="Batang"/>
                <w:sz w:val="14"/>
                <w:szCs w:val="14"/>
                <w:lang w:eastAsia="x-none"/>
              </w:rPr>
              <w:t>, and whether this state is different across different UEs</w:t>
            </w:r>
          </w:p>
          <w:p w14:paraId="4815B5D5" w14:textId="77777777" w:rsidR="0013317E" w:rsidRPr="0013317E" w:rsidRDefault="0013317E" w:rsidP="00BD3507">
            <w:pPr>
              <w:numPr>
                <w:ilvl w:val="0"/>
                <w:numId w:val="39"/>
              </w:numPr>
              <w:spacing w:after="0"/>
              <w:contextualSpacing/>
              <w:rPr>
                <w:rFonts w:eastAsia="Batang"/>
                <w:sz w:val="14"/>
                <w:szCs w:val="14"/>
                <w:lang w:eastAsia="zh-CN"/>
              </w:rPr>
            </w:pPr>
            <w:r w:rsidRPr="0013317E">
              <w:rPr>
                <w:rFonts w:eastAsia="DengXian" w:hint="eastAsia"/>
                <w:sz w:val="14"/>
                <w:szCs w:val="14"/>
                <w:lang w:eastAsia="zh-CN"/>
              </w:rPr>
              <w:t>I</w:t>
            </w:r>
            <w:r w:rsidRPr="0013317E">
              <w:rPr>
                <w:rFonts w:eastAsia="DengXian"/>
                <w:sz w:val="14"/>
                <w:szCs w:val="14"/>
                <w:lang w:eastAsia="zh-CN"/>
              </w:rPr>
              <w:t xml:space="preserve">f </w:t>
            </w:r>
            <w:r w:rsidRPr="0013317E">
              <w:rPr>
                <w:rFonts w:eastAsia="Batang"/>
                <w:sz w:val="14"/>
                <w:szCs w:val="14"/>
                <w:lang w:eastAsia="x-none"/>
              </w:rPr>
              <w:t xml:space="preserve">reusing/reinterpreting HARQ-ACK related field in DCI is also used for DCI overriding scheme, the interpretation of the state can be different than for </w:t>
            </w:r>
            <w:r w:rsidRPr="0013317E">
              <w:rPr>
                <w:rFonts w:ascii="Times" w:eastAsia="Batang" w:hAnsi="Times"/>
                <w:sz w:val="14"/>
                <w:szCs w:val="8"/>
                <w:lang w:eastAsia="x-none"/>
              </w:rPr>
              <w:t>DCI-based direct indication.</w:t>
            </w:r>
          </w:p>
          <w:p w14:paraId="7A7FA014" w14:textId="77777777" w:rsidR="0013317E" w:rsidRDefault="0013317E" w:rsidP="00051B76">
            <w:pPr>
              <w:jc w:val="both"/>
            </w:pPr>
          </w:p>
        </w:tc>
      </w:tr>
    </w:tbl>
    <w:p w14:paraId="2E434A82" w14:textId="77777777" w:rsidR="0013317E" w:rsidRDefault="0013317E" w:rsidP="00051B76">
      <w:pPr>
        <w:jc w:val="both"/>
      </w:pPr>
    </w:p>
    <w:p w14:paraId="716A5EFC" w14:textId="3CEB5895" w:rsidR="0013317E" w:rsidRDefault="0013317E" w:rsidP="0013317E">
      <w:pPr>
        <w:pStyle w:val="Proposal"/>
      </w:pPr>
      <w:bookmarkStart w:id="0" w:name="_Toc142381810"/>
      <w:r>
        <w:t xml:space="preserve">Confirm the WA for the </w:t>
      </w:r>
      <w:bookmarkStart w:id="1" w:name="_Hlk136514147"/>
      <w:r>
        <w:t>“DCI-based direct indication</w:t>
      </w:r>
      <w:r w:rsidR="00204298">
        <w:t>”</w:t>
      </w:r>
      <w:bookmarkEnd w:id="1"/>
      <w:r>
        <w:t xml:space="preserve"> i</w:t>
      </w:r>
      <w:r w:rsidR="00204298">
        <w:t>f</w:t>
      </w:r>
      <w:r>
        <w:t xml:space="preserve"> the</w:t>
      </w:r>
      <w:r w:rsidR="00204298">
        <w:t xml:space="preserve"> corresponding WA for the “DCI-based overriding indication” is also confirmed as to have a </w:t>
      </w:r>
      <w:r w:rsidR="00DC141A">
        <w:t xml:space="preserve">common </w:t>
      </w:r>
      <w:r w:rsidR="00204298">
        <w:t>DCI design for both DCI-based solutions.</w:t>
      </w:r>
      <w:bookmarkEnd w:id="0"/>
      <w:r>
        <w:t xml:space="preserve"> </w:t>
      </w:r>
    </w:p>
    <w:p w14:paraId="5B4131B1" w14:textId="77777777" w:rsidR="00484F54" w:rsidRDefault="00204298" w:rsidP="00051B76">
      <w:pPr>
        <w:jc w:val="both"/>
      </w:pPr>
      <w:r>
        <w:t>The WA contains an FFS stating “</w:t>
      </w:r>
      <w:r w:rsidRPr="00204298">
        <w:rPr>
          <w:rFonts w:eastAsia="Batang"/>
          <w:i/>
          <w:iCs/>
          <w:sz w:val="16"/>
          <w:szCs w:val="16"/>
          <w:lang w:eastAsia="x-none"/>
        </w:rPr>
        <w:t>FFS: d</w:t>
      </w:r>
      <w:r w:rsidRPr="0013317E">
        <w:rPr>
          <w:rFonts w:eastAsia="Batang"/>
          <w:i/>
          <w:iCs/>
          <w:sz w:val="16"/>
          <w:szCs w:val="16"/>
          <w:lang w:eastAsia="x-none"/>
        </w:rPr>
        <w:t>etailed state, and whether this state is different across different UE</w:t>
      </w:r>
      <w:r w:rsidRPr="0013317E">
        <w:rPr>
          <w:rFonts w:eastAsia="Batang"/>
          <w:sz w:val="16"/>
          <w:szCs w:val="16"/>
          <w:lang w:eastAsia="x-none"/>
        </w:rPr>
        <w:t>s</w:t>
      </w:r>
      <w:r>
        <w:t xml:space="preserve">”. </w:t>
      </w:r>
    </w:p>
    <w:p w14:paraId="2CC0260E" w14:textId="5A10C9E9" w:rsidR="0013317E" w:rsidRDefault="00484F54" w:rsidP="00051B76">
      <w:pPr>
        <w:jc w:val="both"/>
      </w:pPr>
      <w:r>
        <w:t>For NB-IoT, t</w:t>
      </w:r>
      <w:r w:rsidR="00204298">
        <w:t xml:space="preserve">he state in the FFS is one-out-of-the-sixteen available states in the </w:t>
      </w:r>
      <w:r>
        <w:t xml:space="preserve">following </w:t>
      </w:r>
      <w:r w:rsidR="00204298">
        <w:t>table</w:t>
      </w:r>
      <w:r>
        <w:t>s</w:t>
      </w:r>
      <w:r w:rsidR="00204298">
        <w:t xml:space="preserve"> from TS 36.213</w:t>
      </w:r>
      <w:r w:rsidR="00222873">
        <w:t xml:space="preserve"> [3]</w:t>
      </w:r>
      <w:r w:rsidR="00204298">
        <w:t>:</w:t>
      </w:r>
    </w:p>
    <w:tbl>
      <w:tblPr>
        <w:tblStyle w:val="TableGrid"/>
        <w:tblW w:w="0" w:type="auto"/>
        <w:tblLook w:val="04A0" w:firstRow="1" w:lastRow="0" w:firstColumn="1" w:lastColumn="0" w:noHBand="0" w:noVBand="1"/>
      </w:tblPr>
      <w:tblGrid>
        <w:gridCol w:w="4814"/>
        <w:gridCol w:w="4815"/>
      </w:tblGrid>
      <w:tr w:rsidR="00484F54" w14:paraId="19BF23B6" w14:textId="77777777" w:rsidTr="00484F54">
        <w:tc>
          <w:tcPr>
            <w:tcW w:w="4814" w:type="dxa"/>
          </w:tcPr>
          <w:p w14:paraId="68E3F366" w14:textId="0DCBE9E2" w:rsidR="00484F54" w:rsidRPr="00484F54" w:rsidRDefault="00484F54" w:rsidP="00484F54">
            <w:pPr>
              <w:pStyle w:val="TH"/>
              <w:rPr>
                <w:sz w:val="14"/>
                <w:szCs w:val="14"/>
              </w:rPr>
            </w:pPr>
            <w:r w:rsidRPr="00484F54">
              <w:rPr>
                <w:sz w:val="14"/>
                <w:szCs w:val="14"/>
              </w:rPr>
              <w:t xml:space="preserve">Table 16.4.2-1: ACK/NACK subcarrier and </w:t>
            </w:r>
            <w:r w:rsidRPr="00484F54">
              <w:rPr>
                <w:rFonts w:eastAsia="SimSun"/>
                <w:position w:val="-10"/>
                <w:sz w:val="14"/>
                <w:szCs w:val="14"/>
              </w:rPr>
              <w:object w:dxaOrig="260" w:dyaOrig="340" w14:anchorId="3D37B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1" o:title=""/>
                </v:shape>
                <o:OLEObject Type="Embed" ProgID="Equation.3" ShapeID="_x0000_i1025" DrawAspect="Content" ObjectID="_1753191814" r:id="rId12"/>
              </w:object>
            </w:r>
            <w:r w:rsidRPr="00484F54">
              <w:rPr>
                <w:sz w:val="14"/>
                <w:szCs w:val="14"/>
              </w:rPr>
              <w:t xml:space="preserve">for NPUSCH with subcarrier spacing </w:t>
            </w:r>
            <w:r w:rsidRPr="00484F54">
              <w:rPr>
                <w:rFonts w:eastAsia="SimSun"/>
                <w:position w:val="-10"/>
                <w:sz w:val="14"/>
                <w:szCs w:val="14"/>
              </w:rPr>
              <w:object w:dxaOrig="1219" w:dyaOrig="300" w14:anchorId="1CEEE69C">
                <v:shape id="_x0000_i1026" type="#_x0000_t75" style="width:57.5pt;height:14.5pt" o:ole="">
                  <v:imagedata r:id="rId13" o:title=""/>
                </v:shape>
                <o:OLEObject Type="Embed" ProgID="Equation.3" ShapeID="_x0000_i1026" DrawAspect="Content" ObjectID="_1753191815" r:id="rId14"/>
              </w:object>
            </w:r>
            <w:r w:rsidRPr="00484F54">
              <w:rPr>
                <w:sz w:val="14"/>
                <w:szCs w:val="14"/>
              </w:rPr>
              <w:t>.</w:t>
            </w:r>
          </w:p>
        </w:tc>
        <w:tc>
          <w:tcPr>
            <w:tcW w:w="4815" w:type="dxa"/>
          </w:tcPr>
          <w:p w14:paraId="0BFD9162" w14:textId="4F97C7F6" w:rsidR="00484F54" w:rsidRPr="00484F54" w:rsidRDefault="00484F54" w:rsidP="00484F54">
            <w:pPr>
              <w:pStyle w:val="TH"/>
              <w:rPr>
                <w:sz w:val="14"/>
                <w:szCs w:val="14"/>
              </w:rPr>
            </w:pPr>
            <w:r w:rsidRPr="00484F54">
              <w:rPr>
                <w:sz w:val="14"/>
                <w:szCs w:val="14"/>
              </w:rPr>
              <w:t xml:space="preserve">Table 16.4.2-2: ACK/NACK subcarrier and </w:t>
            </w:r>
            <w:r w:rsidRPr="00484F54">
              <w:rPr>
                <w:rFonts w:eastAsia="SimSun"/>
                <w:position w:val="-10"/>
                <w:sz w:val="14"/>
                <w:szCs w:val="14"/>
              </w:rPr>
              <w:object w:dxaOrig="260" w:dyaOrig="340" w14:anchorId="2FCB373E">
                <v:shape id="_x0000_i1027" type="#_x0000_t75" style="width:14pt;height:14pt" o:ole="">
                  <v:imagedata r:id="rId11" o:title=""/>
                </v:shape>
                <o:OLEObject Type="Embed" ProgID="Equation.3" ShapeID="_x0000_i1027" DrawAspect="Content" ObjectID="_1753191816" r:id="rId15"/>
              </w:object>
            </w:r>
            <w:r w:rsidRPr="00484F54">
              <w:rPr>
                <w:sz w:val="14"/>
                <w:szCs w:val="14"/>
              </w:rPr>
              <w:t xml:space="preserve">for NPUSCH with subcarrier spacing </w:t>
            </w:r>
            <w:r w:rsidRPr="00484F54">
              <w:rPr>
                <w:rFonts w:eastAsia="SimSun"/>
                <w:position w:val="-10"/>
                <w:sz w:val="14"/>
                <w:szCs w:val="14"/>
              </w:rPr>
              <w:object w:dxaOrig="1060" w:dyaOrig="279" w14:anchorId="22131925">
                <v:shape id="_x0000_i1028" type="#_x0000_t75" style="width:50pt;height:14.5pt" o:ole="">
                  <v:imagedata r:id="rId16" o:title=""/>
                </v:shape>
                <o:OLEObject Type="Embed" ProgID="Equation.3" ShapeID="_x0000_i1028" DrawAspect="Content" ObjectID="_1753191817" r:id="rId17"/>
              </w:object>
            </w:r>
            <w:r w:rsidRPr="00484F54">
              <w:rPr>
                <w:sz w:val="14"/>
                <w:szCs w:val="14"/>
              </w:rPr>
              <w:t>.</w:t>
            </w:r>
          </w:p>
        </w:tc>
      </w:tr>
      <w:tr w:rsidR="00484F54" w14:paraId="2C0E411E" w14:textId="77777777" w:rsidTr="00484F54">
        <w:tc>
          <w:tcPr>
            <w:tcW w:w="4814" w:type="dxa"/>
          </w:tcPr>
          <w:p w14:paraId="02578C5D" w14:textId="77777777" w:rsidR="00484F54" w:rsidRPr="00484F54" w:rsidRDefault="00484F54" w:rsidP="00051B76">
            <w:pPr>
              <w:jc w:val="both"/>
              <w:rPr>
                <w:sz w:val="14"/>
                <w:szCs w:val="14"/>
              </w:rPr>
            </w:pP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484F54" w:rsidRPr="00484F54" w14:paraId="680327BB" w14:textId="77777777" w:rsidTr="002B490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5C047785" w14:textId="77777777" w:rsidR="00484F54" w:rsidRPr="00484F54" w:rsidRDefault="00484F54" w:rsidP="00484F54">
                  <w:pPr>
                    <w:keepNext/>
                    <w:keepLines/>
                    <w:spacing w:after="0"/>
                    <w:jc w:val="center"/>
                    <w:rPr>
                      <w:b/>
                      <w:sz w:val="14"/>
                      <w:szCs w:val="14"/>
                    </w:rPr>
                  </w:pPr>
                  <w:r w:rsidRPr="00484F54">
                    <w:rPr>
                      <w:sz w:val="14"/>
                      <w:szCs w:val="14"/>
                    </w:rPr>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3269FEBC" w14:textId="77777777" w:rsidR="00484F54" w:rsidRPr="00484F54" w:rsidRDefault="00484F54" w:rsidP="00484F54">
                  <w:pPr>
                    <w:keepNext/>
                    <w:keepLines/>
                    <w:spacing w:after="0"/>
                    <w:jc w:val="center"/>
                    <w:rPr>
                      <w:sz w:val="14"/>
                      <w:szCs w:val="14"/>
                    </w:rPr>
                  </w:pPr>
                  <w:r w:rsidRPr="00484F54">
                    <w:rPr>
                      <w:sz w:val="14"/>
                      <w:szCs w:val="14"/>
                    </w:rP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275E4ED6" w14:textId="77777777" w:rsidR="00484F54" w:rsidRPr="00484F54" w:rsidRDefault="00484F54" w:rsidP="00484F54">
                  <w:pPr>
                    <w:keepNext/>
                    <w:keepLines/>
                    <w:spacing w:after="0"/>
                    <w:jc w:val="center"/>
                    <w:rPr>
                      <w:rFonts w:ascii="Arial" w:eastAsia="MS Mincho" w:hAnsi="Arial"/>
                      <w:b/>
                      <w:i/>
                      <w:iCs/>
                      <w:sz w:val="14"/>
                      <w:szCs w:val="14"/>
                      <w:lang w:val="en-US"/>
                    </w:rPr>
                  </w:pPr>
                  <w:r w:rsidRPr="00484F54">
                    <w:rPr>
                      <w:position w:val="-10"/>
                      <w:sz w:val="14"/>
                      <w:szCs w:val="14"/>
                    </w:rPr>
                    <w:object w:dxaOrig="260" w:dyaOrig="340" w14:anchorId="4E382C33">
                      <v:shape id="_x0000_i1029" type="#_x0000_t75" style="width:14pt;height:14pt" o:ole="">
                        <v:imagedata r:id="rId11" o:title=""/>
                      </v:shape>
                      <o:OLEObject Type="Embed" ProgID="Equation.3" ShapeID="_x0000_i1029" DrawAspect="Content" ObjectID="_1753191818" r:id="rId18"/>
                    </w:object>
                  </w:r>
                </w:p>
              </w:tc>
            </w:tr>
            <w:tr w:rsidR="00484F54" w:rsidRPr="00484F54" w14:paraId="60BD8E0A" w14:textId="77777777" w:rsidTr="002B49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C180F6B"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0</w:t>
                  </w:r>
                </w:p>
              </w:tc>
              <w:tc>
                <w:tcPr>
                  <w:tcW w:w="1155" w:type="dxa"/>
                  <w:tcBorders>
                    <w:top w:val="single" w:sz="4" w:space="0" w:color="auto"/>
                    <w:left w:val="single" w:sz="8" w:space="0" w:color="auto"/>
                    <w:bottom w:val="single" w:sz="4" w:space="0" w:color="auto"/>
                    <w:right w:val="single" w:sz="8" w:space="0" w:color="auto"/>
                  </w:tcBorders>
                </w:tcPr>
                <w:p w14:paraId="22145796"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38</w:t>
                  </w:r>
                </w:p>
              </w:tc>
              <w:tc>
                <w:tcPr>
                  <w:tcW w:w="1155" w:type="dxa"/>
                  <w:tcBorders>
                    <w:top w:val="single" w:sz="4" w:space="0" w:color="auto"/>
                    <w:left w:val="single" w:sz="8" w:space="0" w:color="auto"/>
                    <w:bottom w:val="single" w:sz="4" w:space="0" w:color="auto"/>
                    <w:right w:val="single" w:sz="8" w:space="0" w:color="auto"/>
                  </w:tcBorders>
                  <w:vAlign w:val="center"/>
                </w:tcPr>
                <w:p w14:paraId="0170D58F"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13</w:t>
                  </w:r>
                </w:p>
              </w:tc>
            </w:tr>
            <w:tr w:rsidR="00484F54" w:rsidRPr="00484F54" w14:paraId="021D5428" w14:textId="77777777" w:rsidTr="002B49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2FEED39" w14:textId="77777777" w:rsidR="00484F54" w:rsidRPr="00484F54" w:rsidRDefault="00484F54" w:rsidP="00484F54">
                  <w:pPr>
                    <w:keepNext/>
                    <w:keepLines/>
                    <w:spacing w:after="0"/>
                    <w:jc w:val="center"/>
                    <w:rPr>
                      <w:rFonts w:ascii="Arial" w:hAnsi="Arial"/>
                      <w:sz w:val="14"/>
                      <w:szCs w:val="14"/>
                    </w:rPr>
                  </w:pPr>
                  <w:r w:rsidRPr="00484F54">
                    <w:rPr>
                      <w:rFonts w:ascii="Arial" w:eastAsia="MS Mincho" w:hAnsi="Arial"/>
                      <w:iCs/>
                      <w:sz w:val="14"/>
                      <w:szCs w:val="14"/>
                      <w:lang w:val="en-US"/>
                    </w:rPr>
                    <w:t>1</w:t>
                  </w:r>
                </w:p>
              </w:tc>
              <w:tc>
                <w:tcPr>
                  <w:tcW w:w="1155" w:type="dxa"/>
                  <w:tcBorders>
                    <w:top w:val="single" w:sz="4" w:space="0" w:color="auto"/>
                    <w:left w:val="single" w:sz="8" w:space="0" w:color="auto"/>
                    <w:bottom w:val="single" w:sz="4" w:space="0" w:color="auto"/>
                    <w:right w:val="single" w:sz="8" w:space="0" w:color="auto"/>
                  </w:tcBorders>
                </w:tcPr>
                <w:p w14:paraId="68DF95F8"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39</w:t>
                  </w:r>
                </w:p>
              </w:tc>
              <w:tc>
                <w:tcPr>
                  <w:tcW w:w="1155" w:type="dxa"/>
                  <w:tcBorders>
                    <w:top w:val="single" w:sz="4" w:space="0" w:color="auto"/>
                    <w:left w:val="single" w:sz="8" w:space="0" w:color="auto"/>
                    <w:bottom w:val="single" w:sz="4" w:space="0" w:color="auto"/>
                    <w:right w:val="single" w:sz="8" w:space="0" w:color="auto"/>
                  </w:tcBorders>
                  <w:vAlign w:val="center"/>
                </w:tcPr>
                <w:p w14:paraId="64894B5E" w14:textId="77777777" w:rsidR="00484F54" w:rsidRPr="00484F54" w:rsidRDefault="00484F54" w:rsidP="00484F54">
                  <w:pPr>
                    <w:keepNext/>
                    <w:keepLines/>
                    <w:spacing w:after="0"/>
                    <w:jc w:val="center"/>
                    <w:rPr>
                      <w:rFonts w:ascii="Arial" w:hAnsi="Arial"/>
                      <w:sz w:val="14"/>
                      <w:szCs w:val="14"/>
                    </w:rPr>
                  </w:pPr>
                  <w:r w:rsidRPr="00484F54">
                    <w:rPr>
                      <w:rFonts w:ascii="Arial" w:eastAsia="MS Mincho" w:hAnsi="Arial"/>
                      <w:iCs/>
                      <w:sz w:val="14"/>
                      <w:szCs w:val="14"/>
                      <w:lang w:val="en-US"/>
                    </w:rPr>
                    <w:t>13</w:t>
                  </w:r>
                </w:p>
              </w:tc>
            </w:tr>
            <w:tr w:rsidR="00484F54" w:rsidRPr="00484F54" w14:paraId="09433592" w14:textId="77777777" w:rsidTr="002B49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A323170" w14:textId="77777777" w:rsidR="00484F54" w:rsidRPr="00484F54" w:rsidRDefault="00484F54" w:rsidP="00484F54">
                  <w:pPr>
                    <w:keepNext/>
                    <w:keepLines/>
                    <w:spacing w:after="0"/>
                    <w:jc w:val="center"/>
                    <w:rPr>
                      <w:rFonts w:ascii="Arial" w:hAnsi="Arial"/>
                      <w:sz w:val="14"/>
                      <w:szCs w:val="14"/>
                    </w:rPr>
                  </w:pPr>
                  <w:r w:rsidRPr="00484F54">
                    <w:rPr>
                      <w:rFonts w:ascii="Arial" w:eastAsia="MS Mincho" w:hAnsi="Arial"/>
                      <w:iCs/>
                      <w:sz w:val="14"/>
                      <w:szCs w:val="14"/>
                      <w:lang w:val="en-US"/>
                    </w:rPr>
                    <w:t>2</w:t>
                  </w:r>
                </w:p>
              </w:tc>
              <w:tc>
                <w:tcPr>
                  <w:tcW w:w="1155" w:type="dxa"/>
                  <w:tcBorders>
                    <w:top w:val="single" w:sz="4" w:space="0" w:color="auto"/>
                    <w:left w:val="single" w:sz="8" w:space="0" w:color="auto"/>
                    <w:bottom w:val="single" w:sz="4" w:space="0" w:color="auto"/>
                    <w:right w:val="single" w:sz="8" w:space="0" w:color="auto"/>
                  </w:tcBorders>
                </w:tcPr>
                <w:p w14:paraId="329F644A"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40</w:t>
                  </w:r>
                </w:p>
              </w:tc>
              <w:tc>
                <w:tcPr>
                  <w:tcW w:w="1155" w:type="dxa"/>
                  <w:tcBorders>
                    <w:top w:val="single" w:sz="4" w:space="0" w:color="auto"/>
                    <w:left w:val="single" w:sz="8" w:space="0" w:color="auto"/>
                    <w:bottom w:val="single" w:sz="4" w:space="0" w:color="auto"/>
                    <w:right w:val="single" w:sz="8" w:space="0" w:color="auto"/>
                  </w:tcBorders>
                  <w:vAlign w:val="center"/>
                </w:tcPr>
                <w:p w14:paraId="27D74A1E" w14:textId="77777777" w:rsidR="00484F54" w:rsidRPr="00484F54" w:rsidRDefault="00484F54" w:rsidP="00484F54">
                  <w:pPr>
                    <w:keepNext/>
                    <w:keepLines/>
                    <w:spacing w:after="0"/>
                    <w:jc w:val="center"/>
                    <w:rPr>
                      <w:rFonts w:ascii="Arial" w:hAnsi="Arial"/>
                      <w:sz w:val="14"/>
                      <w:szCs w:val="14"/>
                    </w:rPr>
                  </w:pPr>
                  <w:r w:rsidRPr="00484F54">
                    <w:rPr>
                      <w:rFonts w:ascii="Arial" w:eastAsia="MS Mincho" w:hAnsi="Arial"/>
                      <w:iCs/>
                      <w:sz w:val="14"/>
                      <w:szCs w:val="14"/>
                      <w:lang w:val="en-US"/>
                    </w:rPr>
                    <w:t>13</w:t>
                  </w:r>
                </w:p>
              </w:tc>
            </w:tr>
            <w:tr w:rsidR="00484F54" w:rsidRPr="00484F54" w14:paraId="619F4189" w14:textId="77777777" w:rsidTr="002B49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6ADF41" w14:textId="77777777" w:rsidR="00484F54" w:rsidRPr="00484F54" w:rsidRDefault="00484F54" w:rsidP="00484F54">
                  <w:pPr>
                    <w:keepNext/>
                    <w:keepLines/>
                    <w:spacing w:after="0"/>
                    <w:jc w:val="center"/>
                    <w:rPr>
                      <w:rFonts w:ascii="Arial" w:hAnsi="Arial"/>
                      <w:sz w:val="14"/>
                      <w:szCs w:val="14"/>
                    </w:rPr>
                  </w:pPr>
                  <w:r w:rsidRPr="00484F54">
                    <w:rPr>
                      <w:rFonts w:ascii="Arial" w:eastAsia="MS Mincho" w:hAnsi="Arial"/>
                      <w:iCs/>
                      <w:sz w:val="14"/>
                      <w:szCs w:val="14"/>
                      <w:lang w:val="en-US"/>
                    </w:rPr>
                    <w:t>3</w:t>
                  </w:r>
                </w:p>
              </w:tc>
              <w:tc>
                <w:tcPr>
                  <w:tcW w:w="1155" w:type="dxa"/>
                  <w:tcBorders>
                    <w:top w:val="single" w:sz="4" w:space="0" w:color="auto"/>
                    <w:left w:val="single" w:sz="8" w:space="0" w:color="auto"/>
                    <w:bottom w:val="single" w:sz="4" w:space="0" w:color="auto"/>
                    <w:right w:val="single" w:sz="8" w:space="0" w:color="auto"/>
                  </w:tcBorders>
                </w:tcPr>
                <w:p w14:paraId="0903A9D1"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41</w:t>
                  </w:r>
                </w:p>
              </w:tc>
              <w:tc>
                <w:tcPr>
                  <w:tcW w:w="1155" w:type="dxa"/>
                  <w:tcBorders>
                    <w:top w:val="single" w:sz="4" w:space="0" w:color="auto"/>
                    <w:left w:val="single" w:sz="8" w:space="0" w:color="auto"/>
                    <w:bottom w:val="single" w:sz="4" w:space="0" w:color="auto"/>
                    <w:right w:val="single" w:sz="8" w:space="0" w:color="auto"/>
                  </w:tcBorders>
                  <w:vAlign w:val="center"/>
                </w:tcPr>
                <w:p w14:paraId="6C966B4C" w14:textId="77777777" w:rsidR="00484F54" w:rsidRPr="00484F54" w:rsidRDefault="00484F54" w:rsidP="00484F54">
                  <w:pPr>
                    <w:keepNext/>
                    <w:keepLines/>
                    <w:spacing w:after="0"/>
                    <w:jc w:val="center"/>
                    <w:rPr>
                      <w:rFonts w:ascii="Arial" w:hAnsi="Arial"/>
                      <w:sz w:val="14"/>
                      <w:szCs w:val="14"/>
                    </w:rPr>
                  </w:pPr>
                  <w:r w:rsidRPr="00484F54">
                    <w:rPr>
                      <w:rFonts w:ascii="Arial" w:eastAsia="MS Mincho" w:hAnsi="Arial"/>
                      <w:iCs/>
                      <w:sz w:val="14"/>
                      <w:szCs w:val="14"/>
                      <w:lang w:val="en-US"/>
                    </w:rPr>
                    <w:t>13</w:t>
                  </w:r>
                </w:p>
              </w:tc>
            </w:tr>
            <w:tr w:rsidR="00484F54" w:rsidRPr="00484F54" w14:paraId="3F25DDA5" w14:textId="77777777" w:rsidTr="002B49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5A21995"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4</w:t>
                  </w:r>
                </w:p>
              </w:tc>
              <w:tc>
                <w:tcPr>
                  <w:tcW w:w="1155" w:type="dxa"/>
                  <w:tcBorders>
                    <w:top w:val="single" w:sz="4" w:space="0" w:color="auto"/>
                    <w:left w:val="single" w:sz="8" w:space="0" w:color="auto"/>
                    <w:bottom w:val="single" w:sz="4" w:space="0" w:color="auto"/>
                    <w:right w:val="single" w:sz="8" w:space="0" w:color="auto"/>
                  </w:tcBorders>
                </w:tcPr>
                <w:p w14:paraId="26BC49CA"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42</w:t>
                  </w:r>
                </w:p>
              </w:tc>
              <w:tc>
                <w:tcPr>
                  <w:tcW w:w="1155" w:type="dxa"/>
                  <w:tcBorders>
                    <w:top w:val="single" w:sz="4" w:space="0" w:color="auto"/>
                    <w:left w:val="single" w:sz="8" w:space="0" w:color="auto"/>
                    <w:bottom w:val="single" w:sz="4" w:space="0" w:color="auto"/>
                    <w:right w:val="single" w:sz="8" w:space="0" w:color="auto"/>
                  </w:tcBorders>
                  <w:vAlign w:val="center"/>
                </w:tcPr>
                <w:p w14:paraId="20678A00"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13</w:t>
                  </w:r>
                </w:p>
              </w:tc>
            </w:tr>
            <w:tr w:rsidR="00484F54" w:rsidRPr="00484F54" w14:paraId="15D76099" w14:textId="77777777" w:rsidTr="002B49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AB4CCE6"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5</w:t>
                  </w:r>
                </w:p>
              </w:tc>
              <w:tc>
                <w:tcPr>
                  <w:tcW w:w="1155" w:type="dxa"/>
                  <w:tcBorders>
                    <w:top w:val="single" w:sz="4" w:space="0" w:color="auto"/>
                    <w:left w:val="single" w:sz="8" w:space="0" w:color="auto"/>
                    <w:bottom w:val="single" w:sz="4" w:space="0" w:color="auto"/>
                    <w:right w:val="single" w:sz="8" w:space="0" w:color="auto"/>
                  </w:tcBorders>
                </w:tcPr>
                <w:p w14:paraId="752551BE"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43</w:t>
                  </w:r>
                </w:p>
              </w:tc>
              <w:tc>
                <w:tcPr>
                  <w:tcW w:w="1155" w:type="dxa"/>
                  <w:tcBorders>
                    <w:top w:val="single" w:sz="4" w:space="0" w:color="auto"/>
                    <w:left w:val="single" w:sz="8" w:space="0" w:color="auto"/>
                    <w:bottom w:val="single" w:sz="4" w:space="0" w:color="auto"/>
                    <w:right w:val="single" w:sz="8" w:space="0" w:color="auto"/>
                  </w:tcBorders>
                  <w:vAlign w:val="center"/>
                </w:tcPr>
                <w:p w14:paraId="33BDDD16"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13</w:t>
                  </w:r>
                </w:p>
              </w:tc>
            </w:tr>
            <w:tr w:rsidR="00484F54" w:rsidRPr="00484F54" w14:paraId="748DBC79" w14:textId="77777777" w:rsidTr="002B49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2A18BA0"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6</w:t>
                  </w:r>
                </w:p>
              </w:tc>
              <w:tc>
                <w:tcPr>
                  <w:tcW w:w="1155" w:type="dxa"/>
                  <w:tcBorders>
                    <w:top w:val="single" w:sz="4" w:space="0" w:color="auto"/>
                    <w:left w:val="single" w:sz="8" w:space="0" w:color="auto"/>
                    <w:bottom w:val="single" w:sz="4" w:space="0" w:color="auto"/>
                    <w:right w:val="single" w:sz="8" w:space="0" w:color="auto"/>
                  </w:tcBorders>
                </w:tcPr>
                <w:p w14:paraId="0A763BE4"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44</w:t>
                  </w:r>
                </w:p>
              </w:tc>
              <w:tc>
                <w:tcPr>
                  <w:tcW w:w="1155" w:type="dxa"/>
                  <w:tcBorders>
                    <w:top w:val="single" w:sz="4" w:space="0" w:color="auto"/>
                    <w:left w:val="single" w:sz="8" w:space="0" w:color="auto"/>
                    <w:bottom w:val="single" w:sz="4" w:space="0" w:color="auto"/>
                    <w:right w:val="single" w:sz="8" w:space="0" w:color="auto"/>
                  </w:tcBorders>
                  <w:vAlign w:val="center"/>
                </w:tcPr>
                <w:p w14:paraId="74E4473C"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13</w:t>
                  </w:r>
                </w:p>
              </w:tc>
            </w:tr>
            <w:tr w:rsidR="00484F54" w:rsidRPr="00484F54" w14:paraId="43D91A52" w14:textId="77777777" w:rsidTr="002B49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C847067"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7</w:t>
                  </w:r>
                </w:p>
              </w:tc>
              <w:tc>
                <w:tcPr>
                  <w:tcW w:w="1155" w:type="dxa"/>
                  <w:tcBorders>
                    <w:top w:val="single" w:sz="4" w:space="0" w:color="auto"/>
                    <w:left w:val="single" w:sz="8" w:space="0" w:color="auto"/>
                    <w:bottom w:val="single" w:sz="4" w:space="0" w:color="auto"/>
                    <w:right w:val="single" w:sz="8" w:space="0" w:color="auto"/>
                  </w:tcBorders>
                </w:tcPr>
                <w:p w14:paraId="7FD928C2"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45</w:t>
                  </w:r>
                </w:p>
              </w:tc>
              <w:tc>
                <w:tcPr>
                  <w:tcW w:w="1155" w:type="dxa"/>
                  <w:tcBorders>
                    <w:top w:val="single" w:sz="4" w:space="0" w:color="auto"/>
                    <w:left w:val="single" w:sz="8" w:space="0" w:color="auto"/>
                    <w:bottom w:val="single" w:sz="4" w:space="0" w:color="auto"/>
                    <w:right w:val="single" w:sz="8" w:space="0" w:color="auto"/>
                  </w:tcBorders>
                  <w:vAlign w:val="center"/>
                </w:tcPr>
                <w:p w14:paraId="48FD98BB"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13</w:t>
                  </w:r>
                </w:p>
              </w:tc>
            </w:tr>
            <w:tr w:rsidR="00484F54" w:rsidRPr="00484F54" w14:paraId="2A40DBC4" w14:textId="77777777" w:rsidTr="002B49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AD39434"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8</w:t>
                  </w:r>
                </w:p>
              </w:tc>
              <w:tc>
                <w:tcPr>
                  <w:tcW w:w="1155" w:type="dxa"/>
                  <w:tcBorders>
                    <w:top w:val="single" w:sz="4" w:space="0" w:color="auto"/>
                    <w:left w:val="single" w:sz="8" w:space="0" w:color="auto"/>
                    <w:bottom w:val="single" w:sz="4" w:space="0" w:color="auto"/>
                    <w:right w:val="single" w:sz="8" w:space="0" w:color="auto"/>
                  </w:tcBorders>
                </w:tcPr>
                <w:p w14:paraId="21E9759F"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38</w:t>
                  </w:r>
                </w:p>
              </w:tc>
              <w:tc>
                <w:tcPr>
                  <w:tcW w:w="1155" w:type="dxa"/>
                  <w:tcBorders>
                    <w:top w:val="single" w:sz="4" w:space="0" w:color="auto"/>
                    <w:left w:val="single" w:sz="8" w:space="0" w:color="auto"/>
                    <w:bottom w:val="single" w:sz="4" w:space="0" w:color="auto"/>
                    <w:right w:val="single" w:sz="8" w:space="0" w:color="auto"/>
                  </w:tcBorders>
                  <w:vAlign w:val="center"/>
                </w:tcPr>
                <w:p w14:paraId="14520970"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21</w:t>
                  </w:r>
                </w:p>
              </w:tc>
            </w:tr>
            <w:tr w:rsidR="00484F54" w:rsidRPr="00484F54" w14:paraId="08348FFC" w14:textId="77777777" w:rsidTr="002B49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53BAC06"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9</w:t>
                  </w:r>
                </w:p>
              </w:tc>
              <w:tc>
                <w:tcPr>
                  <w:tcW w:w="1155" w:type="dxa"/>
                  <w:tcBorders>
                    <w:top w:val="single" w:sz="4" w:space="0" w:color="auto"/>
                    <w:left w:val="single" w:sz="8" w:space="0" w:color="auto"/>
                    <w:bottom w:val="single" w:sz="4" w:space="0" w:color="auto"/>
                    <w:right w:val="single" w:sz="8" w:space="0" w:color="auto"/>
                  </w:tcBorders>
                </w:tcPr>
                <w:p w14:paraId="2D43100A"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39</w:t>
                  </w:r>
                </w:p>
              </w:tc>
              <w:tc>
                <w:tcPr>
                  <w:tcW w:w="1155" w:type="dxa"/>
                  <w:tcBorders>
                    <w:top w:val="single" w:sz="4" w:space="0" w:color="auto"/>
                    <w:left w:val="single" w:sz="8" w:space="0" w:color="auto"/>
                    <w:bottom w:val="single" w:sz="4" w:space="0" w:color="auto"/>
                    <w:right w:val="single" w:sz="8" w:space="0" w:color="auto"/>
                  </w:tcBorders>
                  <w:vAlign w:val="center"/>
                </w:tcPr>
                <w:p w14:paraId="00CB0968"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21</w:t>
                  </w:r>
                </w:p>
              </w:tc>
            </w:tr>
            <w:tr w:rsidR="00484F54" w:rsidRPr="00484F54" w14:paraId="49636859" w14:textId="77777777" w:rsidTr="002B49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38468AC"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10</w:t>
                  </w:r>
                </w:p>
              </w:tc>
              <w:tc>
                <w:tcPr>
                  <w:tcW w:w="1155" w:type="dxa"/>
                  <w:tcBorders>
                    <w:top w:val="single" w:sz="4" w:space="0" w:color="auto"/>
                    <w:left w:val="single" w:sz="8" w:space="0" w:color="auto"/>
                    <w:bottom w:val="single" w:sz="4" w:space="0" w:color="auto"/>
                    <w:right w:val="single" w:sz="8" w:space="0" w:color="auto"/>
                  </w:tcBorders>
                </w:tcPr>
                <w:p w14:paraId="69B087AE"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40</w:t>
                  </w:r>
                </w:p>
              </w:tc>
              <w:tc>
                <w:tcPr>
                  <w:tcW w:w="1155" w:type="dxa"/>
                  <w:tcBorders>
                    <w:top w:val="single" w:sz="4" w:space="0" w:color="auto"/>
                    <w:left w:val="single" w:sz="8" w:space="0" w:color="auto"/>
                    <w:bottom w:val="single" w:sz="4" w:space="0" w:color="auto"/>
                    <w:right w:val="single" w:sz="8" w:space="0" w:color="auto"/>
                  </w:tcBorders>
                  <w:vAlign w:val="center"/>
                </w:tcPr>
                <w:p w14:paraId="345203AA"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21</w:t>
                  </w:r>
                </w:p>
              </w:tc>
            </w:tr>
            <w:tr w:rsidR="00484F54" w:rsidRPr="00484F54" w14:paraId="3B28A7B0" w14:textId="77777777" w:rsidTr="002B49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5A70523"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11</w:t>
                  </w:r>
                </w:p>
              </w:tc>
              <w:tc>
                <w:tcPr>
                  <w:tcW w:w="1155" w:type="dxa"/>
                  <w:tcBorders>
                    <w:top w:val="single" w:sz="4" w:space="0" w:color="auto"/>
                    <w:left w:val="single" w:sz="8" w:space="0" w:color="auto"/>
                    <w:bottom w:val="single" w:sz="4" w:space="0" w:color="auto"/>
                    <w:right w:val="single" w:sz="8" w:space="0" w:color="auto"/>
                  </w:tcBorders>
                </w:tcPr>
                <w:p w14:paraId="737CCB48"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41</w:t>
                  </w:r>
                </w:p>
              </w:tc>
              <w:tc>
                <w:tcPr>
                  <w:tcW w:w="1155" w:type="dxa"/>
                  <w:tcBorders>
                    <w:top w:val="single" w:sz="4" w:space="0" w:color="auto"/>
                    <w:left w:val="single" w:sz="8" w:space="0" w:color="auto"/>
                    <w:bottom w:val="single" w:sz="4" w:space="0" w:color="auto"/>
                    <w:right w:val="single" w:sz="8" w:space="0" w:color="auto"/>
                  </w:tcBorders>
                  <w:vAlign w:val="center"/>
                </w:tcPr>
                <w:p w14:paraId="158F7282"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21</w:t>
                  </w:r>
                </w:p>
              </w:tc>
            </w:tr>
            <w:tr w:rsidR="00484F54" w:rsidRPr="00484F54" w14:paraId="4011A773" w14:textId="77777777" w:rsidTr="002B49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1B5E933"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12</w:t>
                  </w:r>
                </w:p>
              </w:tc>
              <w:tc>
                <w:tcPr>
                  <w:tcW w:w="1155" w:type="dxa"/>
                  <w:tcBorders>
                    <w:top w:val="single" w:sz="4" w:space="0" w:color="auto"/>
                    <w:left w:val="single" w:sz="8" w:space="0" w:color="auto"/>
                    <w:bottom w:val="single" w:sz="4" w:space="0" w:color="auto"/>
                    <w:right w:val="single" w:sz="8" w:space="0" w:color="auto"/>
                  </w:tcBorders>
                </w:tcPr>
                <w:p w14:paraId="5AC01055"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42</w:t>
                  </w:r>
                </w:p>
              </w:tc>
              <w:tc>
                <w:tcPr>
                  <w:tcW w:w="1155" w:type="dxa"/>
                  <w:tcBorders>
                    <w:top w:val="single" w:sz="4" w:space="0" w:color="auto"/>
                    <w:left w:val="single" w:sz="8" w:space="0" w:color="auto"/>
                    <w:bottom w:val="single" w:sz="4" w:space="0" w:color="auto"/>
                    <w:right w:val="single" w:sz="8" w:space="0" w:color="auto"/>
                  </w:tcBorders>
                  <w:vAlign w:val="center"/>
                </w:tcPr>
                <w:p w14:paraId="153F7FAC"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21</w:t>
                  </w:r>
                </w:p>
              </w:tc>
            </w:tr>
            <w:tr w:rsidR="00484F54" w:rsidRPr="00484F54" w14:paraId="4E924394" w14:textId="77777777" w:rsidTr="002B49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051C8F0"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13</w:t>
                  </w:r>
                </w:p>
              </w:tc>
              <w:tc>
                <w:tcPr>
                  <w:tcW w:w="1155" w:type="dxa"/>
                  <w:tcBorders>
                    <w:top w:val="single" w:sz="4" w:space="0" w:color="auto"/>
                    <w:left w:val="single" w:sz="8" w:space="0" w:color="auto"/>
                    <w:bottom w:val="single" w:sz="4" w:space="0" w:color="auto"/>
                    <w:right w:val="single" w:sz="8" w:space="0" w:color="auto"/>
                  </w:tcBorders>
                </w:tcPr>
                <w:p w14:paraId="5C9650B7"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43</w:t>
                  </w:r>
                </w:p>
              </w:tc>
              <w:tc>
                <w:tcPr>
                  <w:tcW w:w="1155" w:type="dxa"/>
                  <w:tcBorders>
                    <w:top w:val="single" w:sz="4" w:space="0" w:color="auto"/>
                    <w:left w:val="single" w:sz="8" w:space="0" w:color="auto"/>
                    <w:bottom w:val="single" w:sz="4" w:space="0" w:color="auto"/>
                    <w:right w:val="single" w:sz="8" w:space="0" w:color="auto"/>
                  </w:tcBorders>
                  <w:vAlign w:val="center"/>
                </w:tcPr>
                <w:p w14:paraId="0DA358CC"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21</w:t>
                  </w:r>
                </w:p>
              </w:tc>
            </w:tr>
            <w:tr w:rsidR="00484F54" w:rsidRPr="00484F54" w14:paraId="3C833DAE" w14:textId="77777777" w:rsidTr="002B49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C376AD1"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14</w:t>
                  </w:r>
                </w:p>
              </w:tc>
              <w:tc>
                <w:tcPr>
                  <w:tcW w:w="1155" w:type="dxa"/>
                  <w:tcBorders>
                    <w:top w:val="single" w:sz="4" w:space="0" w:color="auto"/>
                    <w:left w:val="single" w:sz="8" w:space="0" w:color="auto"/>
                    <w:bottom w:val="single" w:sz="4" w:space="0" w:color="auto"/>
                    <w:right w:val="single" w:sz="8" w:space="0" w:color="auto"/>
                  </w:tcBorders>
                </w:tcPr>
                <w:p w14:paraId="5509BCE6"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44</w:t>
                  </w:r>
                </w:p>
              </w:tc>
              <w:tc>
                <w:tcPr>
                  <w:tcW w:w="1155" w:type="dxa"/>
                  <w:tcBorders>
                    <w:top w:val="single" w:sz="4" w:space="0" w:color="auto"/>
                    <w:left w:val="single" w:sz="8" w:space="0" w:color="auto"/>
                    <w:bottom w:val="single" w:sz="4" w:space="0" w:color="auto"/>
                    <w:right w:val="single" w:sz="8" w:space="0" w:color="auto"/>
                  </w:tcBorders>
                  <w:vAlign w:val="center"/>
                </w:tcPr>
                <w:p w14:paraId="71A0AFC0"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21</w:t>
                  </w:r>
                </w:p>
              </w:tc>
            </w:tr>
            <w:tr w:rsidR="00484F54" w:rsidRPr="00484F54" w14:paraId="6F742FC9" w14:textId="77777777" w:rsidTr="002B49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1E20977"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15</w:t>
                  </w:r>
                </w:p>
              </w:tc>
              <w:tc>
                <w:tcPr>
                  <w:tcW w:w="1155" w:type="dxa"/>
                  <w:tcBorders>
                    <w:top w:val="single" w:sz="4" w:space="0" w:color="auto"/>
                    <w:left w:val="single" w:sz="8" w:space="0" w:color="auto"/>
                    <w:bottom w:val="single" w:sz="4" w:space="0" w:color="auto"/>
                    <w:right w:val="single" w:sz="8" w:space="0" w:color="auto"/>
                  </w:tcBorders>
                </w:tcPr>
                <w:p w14:paraId="2791D820"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45</w:t>
                  </w:r>
                </w:p>
              </w:tc>
              <w:tc>
                <w:tcPr>
                  <w:tcW w:w="1155" w:type="dxa"/>
                  <w:tcBorders>
                    <w:top w:val="single" w:sz="4" w:space="0" w:color="auto"/>
                    <w:left w:val="single" w:sz="8" w:space="0" w:color="auto"/>
                    <w:bottom w:val="single" w:sz="4" w:space="0" w:color="auto"/>
                    <w:right w:val="single" w:sz="8" w:space="0" w:color="auto"/>
                  </w:tcBorders>
                  <w:vAlign w:val="center"/>
                </w:tcPr>
                <w:p w14:paraId="211CF874"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21</w:t>
                  </w:r>
                </w:p>
              </w:tc>
            </w:tr>
          </w:tbl>
          <w:p w14:paraId="1078B661" w14:textId="77777777" w:rsidR="00484F54" w:rsidRPr="00484F54" w:rsidRDefault="00484F54" w:rsidP="00051B76">
            <w:pPr>
              <w:jc w:val="both"/>
              <w:rPr>
                <w:sz w:val="14"/>
                <w:szCs w:val="14"/>
              </w:rPr>
            </w:pPr>
          </w:p>
          <w:p w14:paraId="54C9BF0E" w14:textId="29392622" w:rsidR="00484F54" w:rsidRPr="00484F54" w:rsidRDefault="00484F54" w:rsidP="00051B76">
            <w:pPr>
              <w:jc w:val="both"/>
              <w:rPr>
                <w:sz w:val="14"/>
                <w:szCs w:val="14"/>
              </w:rPr>
            </w:pPr>
          </w:p>
        </w:tc>
        <w:tc>
          <w:tcPr>
            <w:tcW w:w="4815" w:type="dxa"/>
          </w:tcPr>
          <w:p w14:paraId="2C0C0BBE" w14:textId="77777777" w:rsidR="00484F54" w:rsidRPr="00484F54" w:rsidRDefault="00484F54" w:rsidP="00051B76">
            <w:pPr>
              <w:jc w:val="both"/>
              <w:rPr>
                <w:sz w:val="14"/>
                <w:szCs w:val="14"/>
              </w:rPr>
            </w:pP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484F54" w:rsidRPr="00484F54" w14:paraId="65ED7D8C" w14:textId="77777777" w:rsidTr="002B490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C1A42D4" w14:textId="77777777" w:rsidR="00484F54" w:rsidRPr="00484F54" w:rsidRDefault="00484F54" w:rsidP="00484F54">
                  <w:pPr>
                    <w:keepNext/>
                    <w:keepLines/>
                    <w:spacing w:after="0"/>
                    <w:jc w:val="center"/>
                    <w:rPr>
                      <w:b/>
                      <w:sz w:val="14"/>
                      <w:szCs w:val="14"/>
                    </w:rPr>
                  </w:pPr>
                  <w:r w:rsidRPr="00484F54">
                    <w:rPr>
                      <w:sz w:val="14"/>
                      <w:szCs w:val="14"/>
                    </w:rPr>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36828899" w14:textId="77777777" w:rsidR="00484F54" w:rsidRPr="00484F54" w:rsidRDefault="00484F54" w:rsidP="00484F54">
                  <w:pPr>
                    <w:keepNext/>
                    <w:keepLines/>
                    <w:spacing w:after="0"/>
                    <w:jc w:val="center"/>
                    <w:rPr>
                      <w:sz w:val="14"/>
                      <w:szCs w:val="14"/>
                    </w:rPr>
                  </w:pPr>
                  <w:r w:rsidRPr="00484F54">
                    <w:rPr>
                      <w:sz w:val="14"/>
                      <w:szCs w:val="14"/>
                    </w:rP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8BF174B" w14:textId="77777777" w:rsidR="00484F54" w:rsidRPr="00484F54" w:rsidRDefault="00484F54" w:rsidP="00484F54">
                  <w:pPr>
                    <w:keepNext/>
                    <w:keepLines/>
                    <w:spacing w:after="0"/>
                    <w:jc w:val="center"/>
                    <w:rPr>
                      <w:rFonts w:ascii="Arial" w:eastAsia="MS Mincho" w:hAnsi="Arial"/>
                      <w:b/>
                      <w:i/>
                      <w:iCs/>
                      <w:sz w:val="14"/>
                      <w:szCs w:val="14"/>
                      <w:lang w:val="en-US"/>
                    </w:rPr>
                  </w:pPr>
                  <w:r w:rsidRPr="00484F54">
                    <w:rPr>
                      <w:position w:val="-10"/>
                      <w:sz w:val="14"/>
                      <w:szCs w:val="14"/>
                    </w:rPr>
                    <w:object w:dxaOrig="260" w:dyaOrig="340" w14:anchorId="0D233E50">
                      <v:shape id="_x0000_i1030" type="#_x0000_t75" style="width:14pt;height:14pt" o:ole="">
                        <v:imagedata r:id="rId11" o:title=""/>
                      </v:shape>
                      <o:OLEObject Type="Embed" ProgID="Equation.3" ShapeID="_x0000_i1030" DrawAspect="Content" ObjectID="_1753191819" r:id="rId19"/>
                    </w:object>
                  </w:r>
                </w:p>
              </w:tc>
            </w:tr>
            <w:tr w:rsidR="00484F54" w:rsidRPr="00484F54" w14:paraId="33F6041E" w14:textId="77777777" w:rsidTr="002B49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2F653E0"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0</w:t>
                  </w:r>
                </w:p>
              </w:tc>
              <w:tc>
                <w:tcPr>
                  <w:tcW w:w="1155" w:type="dxa"/>
                  <w:tcBorders>
                    <w:top w:val="single" w:sz="4" w:space="0" w:color="auto"/>
                    <w:left w:val="single" w:sz="8" w:space="0" w:color="auto"/>
                    <w:bottom w:val="single" w:sz="4" w:space="0" w:color="auto"/>
                    <w:right w:val="single" w:sz="8" w:space="0" w:color="auto"/>
                  </w:tcBorders>
                </w:tcPr>
                <w:p w14:paraId="1EFCA76C"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5DAF950D"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13</w:t>
                  </w:r>
                </w:p>
              </w:tc>
            </w:tr>
            <w:tr w:rsidR="00484F54" w:rsidRPr="00484F54" w14:paraId="43CD78F7" w14:textId="77777777" w:rsidTr="002B49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008B810" w14:textId="77777777" w:rsidR="00484F54" w:rsidRPr="00484F54" w:rsidRDefault="00484F54" w:rsidP="00484F54">
                  <w:pPr>
                    <w:keepNext/>
                    <w:keepLines/>
                    <w:spacing w:after="0"/>
                    <w:jc w:val="center"/>
                    <w:rPr>
                      <w:rFonts w:ascii="Arial" w:hAnsi="Arial"/>
                      <w:sz w:val="14"/>
                      <w:szCs w:val="14"/>
                    </w:rPr>
                  </w:pPr>
                  <w:r w:rsidRPr="00484F54">
                    <w:rPr>
                      <w:rFonts w:ascii="Arial" w:eastAsia="MS Mincho" w:hAnsi="Arial"/>
                      <w:iCs/>
                      <w:sz w:val="14"/>
                      <w:szCs w:val="14"/>
                      <w:lang w:val="en-US"/>
                    </w:rPr>
                    <w:t>1</w:t>
                  </w:r>
                </w:p>
              </w:tc>
              <w:tc>
                <w:tcPr>
                  <w:tcW w:w="1155" w:type="dxa"/>
                  <w:tcBorders>
                    <w:top w:val="single" w:sz="4" w:space="0" w:color="auto"/>
                    <w:left w:val="single" w:sz="8" w:space="0" w:color="auto"/>
                    <w:bottom w:val="single" w:sz="4" w:space="0" w:color="auto"/>
                    <w:right w:val="single" w:sz="8" w:space="0" w:color="auto"/>
                  </w:tcBorders>
                </w:tcPr>
                <w:p w14:paraId="6989E406"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69FDAC72" w14:textId="77777777" w:rsidR="00484F54" w:rsidRPr="00484F54" w:rsidRDefault="00484F54" w:rsidP="00484F54">
                  <w:pPr>
                    <w:keepNext/>
                    <w:keepLines/>
                    <w:spacing w:after="0"/>
                    <w:jc w:val="center"/>
                    <w:rPr>
                      <w:rFonts w:ascii="Arial" w:hAnsi="Arial"/>
                      <w:sz w:val="14"/>
                      <w:szCs w:val="14"/>
                    </w:rPr>
                  </w:pPr>
                  <w:r w:rsidRPr="00484F54">
                    <w:rPr>
                      <w:rFonts w:ascii="Arial" w:eastAsia="MS Mincho" w:hAnsi="Arial"/>
                      <w:iCs/>
                      <w:sz w:val="14"/>
                      <w:szCs w:val="14"/>
                      <w:lang w:val="en-US"/>
                    </w:rPr>
                    <w:t>13</w:t>
                  </w:r>
                </w:p>
              </w:tc>
            </w:tr>
            <w:tr w:rsidR="00484F54" w:rsidRPr="00484F54" w14:paraId="7EC9FA49" w14:textId="77777777" w:rsidTr="002B49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CA6769E" w14:textId="77777777" w:rsidR="00484F54" w:rsidRPr="00484F54" w:rsidRDefault="00484F54" w:rsidP="00484F54">
                  <w:pPr>
                    <w:keepNext/>
                    <w:keepLines/>
                    <w:spacing w:after="0"/>
                    <w:jc w:val="center"/>
                    <w:rPr>
                      <w:rFonts w:ascii="Arial" w:hAnsi="Arial"/>
                      <w:sz w:val="14"/>
                      <w:szCs w:val="14"/>
                    </w:rPr>
                  </w:pPr>
                  <w:r w:rsidRPr="00484F54">
                    <w:rPr>
                      <w:rFonts w:ascii="Arial" w:eastAsia="MS Mincho" w:hAnsi="Arial"/>
                      <w:iCs/>
                      <w:sz w:val="14"/>
                      <w:szCs w:val="14"/>
                      <w:lang w:val="en-US"/>
                    </w:rPr>
                    <w:t>2</w:t>
                  </w:r>
                </w:p>
              </w:tc>
              <w:tc>
                <w:tcPr>
                  <w:tcW w:w="1155" w:type="dxa"/>
                  <w:tcBorders>
                    <w:top w:val="single" w:sz="4" w:space="0" w:color="auto"/>
                    <w:left w:val="single" w:sz="8" w:space="0" w:color="auto"/>
                    <w:bottom w:val="single" w:sz="4" w:space="0" w:color="auto"/>
                    <w:right w:val="single" w:sz="8" w:space="0" w:color="auto"/>
                  </w:tcBorders>
                </w:tcPr>
                <w:p w14:paraId="592171E6"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731B70F9" w14:textId="77777777" w:rsidR="00484F54" w:rsidRPr="00484F54" w:rsidRDefault="00484F54" w:rsidP="00484F54">
                  <w:pPr>
                    <w:keepNext/>
                    <w:keepLines/>
                    <w:spacing w:after="0"/>
                    <w:jc w:val="center"/>
                    <w:rPr>
                      <w:rFonts w:ascii="Arial" w:hAnsi="Arial"/>
                      <w:sz w:val="14"/>
                      <w:szCs w:val="14"/>
                    </w:rPr>
                  </w:pPr>
                  <w:r w:rsidRPr="00484F54">
                    <w:rPr>
                      <w:rFonts w:ascii="Arial" w:eastAsia="MS Mincho" w:hAnsi="Arial"/>
                      <w:iCs/>
                      <w:sz w:val="14"/>
                      <w:szCs w:val="14"/>
                      <w:lang w:val="en-US"/>
                    </w:rPr>
                    <w:t>13</w:t>
                  </w:r>
                </w:p>
              </w:tc>
            </w:tr>
            <w:tr w:rsidR="00484F54" w:rsidRPr="00484F54" w14:paraId="6C9A5F9A" w14:textId="77777777" w:rsidTr="002B49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593D036" w14:textId="77777777" w:rsidR="00484F54" w:rsidRPr="00484F54" w:rsidRDefault="00484F54" w:rsidP="00484F54">
                  <w:pPr>
                    <w:keepNext/>
                    <w:keepLines/>
                    <w:spacing w:after="0"/>
                    <w:jc w:val="center"/>
                    <w:rPr>
                      <w:rFonts w:ascii="Arial" w:hAnsi="Arial"/>
                      <w:sz w:val="14"/>
                      <w:szCs w:val="14"/>
                    </w:rPr>
                  </w:pPr>
                  <w:r w:rsidRPr="00484F54">
                    <w:rPr>
                      <w:rFonts w:ascii="Arial" w:eastAsia="MS Mincho" w:hAnsi="Arial"/>
                      <w:iCs/>
                      <w:sz w:val="14"/>
                      <w:szCs w:val="14"/>
                      <w:lang w:val="en-US"/>
                    </w:rPr>
                    <w:t>3</w:t>
                  </w:r>
                </w:p>
              </w:tc>
              <w:tc>
                <w:tcPr>
                  <w:tcW w:w="1155" w:type="dxa"/>
                  <w:tcBorders>
                    <w:top w:val="single" w:sz="4" w:space="0" w:color="auto"/>
                    <w:left w:val="single" w:sz="8" w:space="0" w:color="auto"/>
                    <w:bottom w:val="single" w:sz="4" w:space="0" w:color="auto"/>
                    <w:right w:val="single" w:sz="8" w:space="0" w:color="auto"/>
                  </w:tcBorders>
                </w:tcPr>
                <w:p w14:paraId="32A76DAD"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5C275951" w14:textId="77777777" w:rsidR="00484F54" w:rsidRPr="00484F54" w:rsidRDefault="00484F54" w:rsidP="00484F54">
                  <w:pPr>
                    <w:keepNext/>
                    <w:keepLines/>
                    <w:spacing w:after="0"/>
                    <w:jc w:val="center"/>
                    <w:rPr>
                      <w:rFonts w:ascii="Arial" w:hAnsi="Arial"/>
                      <w:sz w:val="14"/>
                      <w:szCs w:val="14"/>
                    </w:rPr>
                  </w:pPr>
                  <w:r w:rsidRPr="00484F54">
                    <w:rPr>
                      <w:rFonts w:ascii="Arial" w:eastAsia="MS Mincho" w:hAnsi="Arial"/>
                      <w:iCs/>
                      <w:sz w:val="14"/>
                      <w:szCs w:val="14"/>
                      <w:lang w:val="en-US"/>
                    </w:rPr>
                    <w:t>13</w:t>
                  </w:r>
                </w:p>
              </w:tc>
            </w:tr>
            <w:tr w:rsidR="00484F54" w:rsidRPr="00484F54" w14:paraId="47C373D7" w14:textId="77777777" w:rsidTr="002B49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952755A"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4</w:t>
                  </w:r>
                </w:p>
              </w:tc>
              <w:tc>
                <w:tcPr>
                  <w:tcW w:w="1155" w:type="dxa"/>
                  <w:tcBorders>
                    <w:top w:val="single" w:sz="4" w:space="0" w:color="auto"/>
                    <w:left w:val="single" w:sz="8" w:space="0" w:color="auto"/>
                    <w:bottom w:val="single" w:sz="4" w:space="0" w:color="auto"/>
                    <w:right w:val="single" w:sz="8" w:space="0" w:color="auto"/>
                  </w:tcBorders>
                </w:tcPr>
                <w:p w14:paraId="6B6CF8CD"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4E91BB18"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15</w:t>
                  </w:r>
                </w:p>
              </w:tc>
            </w:tr>
            <w:tr w:rsidR="00484F54" w:rsidRPr="00484F54" w14:paraId="05C4C37C" w14:textId="77777777" w:rsidTr="002B49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03FDD11"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5</w:t>
                  </w:r>
                </w:p>
              </w:tc>
              <w:tc>
                <w:tcPr>
                  <w:tcW w:w="1155" w:type="dxa"/>
                  <w:tcBorders>
                    <w:top w:val="single" w:sz="4" w:space="0" w:color="auto"/>
                    <w:left w:val="single" w:sz="8" w:space="0" w:color="auto"/>
                    <w:bottom w:val="single" w:sz="4" w:space="0" w:color="auto"/>
                    <w:right w:val="single" w:sz="8" w:space="0" w:color="auto"/>
                  </w:tcBorders>
                </w:tcPr>
                <w:p w14:paraId="1D10A67A"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22CF4CDF"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15</w:t>
                  </w:r>
                </w:p>
              </w:tc>
            </w:tr>
            <w:tr w:rsidR="00484F54" w:rsidRPr="00484F54" w14:paraId="5E7DCE07" w14:textId="77777777" w:rsidTr="002B49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88C0F90"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6</w:t>
                  </w:r>
                </w:p>
              </w:tc>
              <w:tc>
                <w:tcPr>
                  <w:tcW w:w="1155" w:type="dxa"/>
                  <w:tcBorders>
                    <w:top w:val="single" w:sz="4" w:space="0" w:color="auto"/>
                    <w:left w:val="single" w:sz="8" w:space="0" w:color="auto"/>
                    <w:bottom w:val="single" w:sz="4" w:space="0" w:color="auto"/>
                    <w:right w:val="single" w:sz="8" w:space="0" w:color="auto"/>
                  </w:tcBorders>
                </w:tcPr>
                <w:p w14:paraId="603DE4E5"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41832060"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15</w:t>
                  </w:r>
                </w:p>
              </w:tc>
            </w:tr>
            <w:tr w:rsidR="00484F54" w:rsidRPr="00484F54" w14:paraId="701E3CC6" w14:textId="77777777" w:rsidTr="002B49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B55C381"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7</w:t>
                  </w:r>
                </w:p>
              </w:tc>
              <w:tc>
                <w:tcPr>
                  <w:tcW w:w="1155" w:type="dxa"/>
                  <w:tcBorders>
                    <w:top w:val="single" w:sz="4" w:space="0" w:color="auto"/>
                    <w:left w:val="single" w:sz="8" w:space="0" w:color="auto"/>
                    <w:bottom w:val="single" w:sz="4" w:space="0" w:color="auto"/>
                    <w:right w:val="single" w:sz="8" w:space="0" w:color="auto"/>
                  </w:tcBorders>
                </w:tcPr>
                <w:p w14:paraId="4439E0FD"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7B791B6E"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15</w:t>
                  </w:r>
                </w:p>
              </w:tc>
            </w:tr>
            <w:tr w:rsidR="00484F54" w:rsidRPr="00484F54" w14:paraId="3C7EC562" w14:textId="77777777" w:rsidTr="002B49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30E74D6"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8</w:t>
                  </w:r>
                </w:p>
              </w:tc>
              <w:tc>
                <w:tcPr>
                  <w:tcW w:w="1155" w:type="dxa"/>
                  <w:tcBorders>
                    <w:top w:val="single" w:sz="4" w:space="0" w:color="auto"/>
                    <w:left w:val="single" w:sz="8" w:space="0" w:color="auto"/>
                    <w:bottom w:val="single" w:sz="4" w:space="0" w:color="auto"/>
                    <w:right w:val="single" w:sz="8" w:space="0" w:color="auto"/>
                  </w:tcBorders>
                </w:tcPr>
                <w:p w14:paraId="6CA507C9"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1228A641"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17</w:t>
                  </w:r>
                </w:p>
              </w:tc>
            </w:tr>
            <w:tr w:rsidR="00484F54" w:rsidRPr="00484F54" w14:paraId="45D73C79" w14:textId="77777777" w:rsidTr="002B49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6671C29"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9</w:t>
                  </w:r>
                </w:p>
              </w:tc>
              <w:tc>
                <w:tcPr>
                  <w:tcW w:w="1155" w:type="dxa"/>
                  <w:tcBorders>
                    <w:top w:val="single" w:sz="4" w:space="0" w:color="auto"/>
                    <w:left w:val="single" w:sz="8" w:space="0" w:color="auto"/>
                    <w:bottom w:val="single" w:sz="4" w:space="0" w:color="auto"/>
                    <w:right w:val="single" w:sz="8" w:space="0" w:color="auto"/>
                  </w:tcBorders>
                </w:tcPr>
                <w:p w14:paraId="1CB04FC0"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32F04015"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17</w:t>
                  </w:r>
                </w:p>
              </w:tc>
            </w:tr>
            <w:tr w:rsidR="00484F54" w:rsidRPr="00484F54" w14:paraId="2179A0C8" w14:textId="77777777" w:rsidTr="002B49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D37B570"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10</w:t>
                  </w:r>
                </w:p>
              </w:tc>
              <w:tc>
                <w:tcPr>
                  <w:tcW w:w="1155" w:type="dxa"/>
                  <w:tcBorders>
                    <w:top w:val="single" w:sz="4" w:space="0" w:color="auto"/>
                    <w:left w:val="single" w:sz="8" w:space="0" w:color="auto"/>
                    <w:bottom w:val="single" w:sz="4" w:space="0" w:color="auto"/>
                    <w:right w:val="single" w:sz="8" w:space="0" w:color="auto"/>
                  </w:tcBorders>
                </w:tcPr>
                <w:p w14:paraId="0D386E78"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48F2B0E8"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17</w:t>
                  </w:r>
                </w:p>
              </w:tc>
            </w:tr>
            <w:tr w:rsidR="00484F54" w:rsidRPr="00484F54" w14:paraId="0A9149E4" w14:textId="77777777" w:rsidTr="002B49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219CCBB"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11</w:t>
                  </w:r>
                </w:p>
              </w:tc>
              <w:tc>
                <w:tcPr>
                  <w:tcW w:w="1155" w:type="dxa"/>
                  <w:tcBorders>
                    <w:top w:val="single" w:sz="4" w:space="0" w:color="auto"/>
                    <w:left w:val="single" w:sz="8" w:space="0" w:color="auto"/>
                    <w:bottom w:val="single" w:sz="4" w:space="0" w:color="auto"/>
                    <w:right w:val="single" w:sz="8" w:space="0" w:color="auto"/>
                  </w:tcBorders>
                </w:tcPr>
                <w:p w14:paraId="42D004FD"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415C3CB2"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17</w:t>
                  </w:r>
                </w:p>
              </w:tc>
            </w:tr>
            <w:tr w:rsidR="00484F54" w:rsidRPr="00484F54" w14:paraId="6789E895" w14:textId="77777777" w:rsidTr="002B49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2CC5F69"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12</w:t>
                  </w:r>
                </w:p>
              </w:tc>
              <w:tc>
                <w:tcPr>
                  <w:tcW w:w="1155" w:type="dxa"/>
                  <w:tcBorders>
                    <w:top w:val="single" w:sz="4" w:space="0" w:color="auto"/>
                    <w:left w:val="single" w:sz="8" w:space="0" w:color="auto"/>
                    <w:bottom w:val="single" w:sz="4" w:space="0" w:color="auto"/>
                    <w:right w:val="single" w:sz="8" w:space="0" w:color="auto"/>
                  </w:tcBorders>
                </w:tcPr>
                <w:p w14:paraId="7574FFBB"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248398CE"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18</w:t>
                  </w:r>
                </w:p>
              </w:tc>
            </w:tr>
            <w:tr w:rsidR="00484F54" w:rsidRPr="00484F54" w14:paraId="000C8B17" w14:textId="77777777" w:rsidTr="002B49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0AC7C7D"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13</w:t>
                  </w:r>
                </w:p>
              </w:tc>
              <w:tc>
                <w:tcPr>
                  <w:tcW w:w="1155" w:type="dxa"/>
                  <w:tcBorders>
                    <w:top w:val="single" w:sz="4" w:space="0" w:color="auto"/>
                    <w:left w:val="single" w:sz="8" w:space="0" w:color="auto"/>
                    <w:bottom w:val="single" w:sz="4" w:space="0" w:color="auto"/>
                    <w:right w:val="single" w:sz="8" w:space="0" w:color="auto"/>
                  </w:tcBorders>
                </w:tcPr>
                <w:p w14:paraId="64309183"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364B4115"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18</w:t>
                  </w:r>
                </w:p>
              </w:tc>
            </w:tr>
            <w:tr w:rsidR="00484F54" w:rsidRPr="00484F54" w14:paraId="48DF2F65" w14:textId="77777777" w:rsidTr="002B49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C409744"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14</w:t>
                  </w:r>
                </w:p>
              </w:tc>
              <w:tc>
                <w:tcPr>
                  <w:tcW w:w="1155" w:type="dxa"/>
                  <w:tcBorders>
                    <w:top w:val="single" w:sz="4" w:space="0" w:color="auto"/>
                    <w:left w:val="single" w:sz="8" w:space="0" w:color="auto"/>
                    <w:bottom w:val="single" w:sz="4" w:space="0" w:color="auto"/>
                    <w:right w:val="single" w:sz="8" w:space="0" w:color="auto"/>
                  </w:tcBorders>
                </w:tcPr>
                <w:p w14:paraId="54F80876"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4A69689D"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18</w:t>
                  </w:r>
                </w:p>
              </w:tc>
            </w:tr>
            <w:tr w:rsidR="00484F54" w:rsidRPr="00484F54" w14:paraId="349FFEAD" w14:textId="77777777" w:rsidTr="002B49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529FFCC"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15</w:t>
                  </w:r>
                </w:p>
              </w:tc>
              <w:tc>
                <w:tcPr>
                  <w:tcW w:w="1155" w:type="dxa"/>
                  <w:tcBorders>
                    <w:top w:val="single" w:sz="4" w:space="0" w:color="auto"/>
                    <w:left w:val="single" w:sz="8" w:space="0" w:color="auto"/>
                    <w:bottom w:val="single" w:sz="4" w:space="0" w:color="auto"/>
                    <w:right w:val="single" w:sz="8" w:space="0" w:color="auto"/>
                  </w:tcBorders>
                </w:tcPr>
                <w:p w14:paraId="2747013D"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6A07499D" w14:textId="77777777" w:rsidR="00484F54" w:rsidRPr="00484F54" w:rsidRDefault="00484F54" w:rsidP="00484F54">
                  <w:pPr>
                    <w:keepNext/>
                    <w:keepLines/>
                    <w:spacing w:after="0"/>
                    <w:jc w:val="center"/>
                    <w:rPr>
                      <w:rFonts w:ascii="Arial" w:eastAsia="MS Mincho" w:hAnsi="Arial"/>
                      <w:iCs/>
                      <w:sz w:val="14"/>
                      <w:szCs w:val="14"/>
                      <w:lang w:val="en-US"/>
                    </w:rPr>
                  </w:pPr>
                  <w:r w:rsidRPr="00484F54">
                    <w:rPr>
                      <w:rFonts w:ascii="Arial" w:eastAsia="MS Mincho" w:hAnsi="Arial"/>
                      <w:iCs/>
                      <w:sz w:val="14"/>
                      <w:szCs w:val="14"/>
                      <w:lang w:val="en-US"/>
                    </w:rPr>
                    <w:t>18</w:t>
                  </w:r>
                </w:p>
              </w:tc>
            </w:tr>
          </w:tbl>
          <w:p w14:paraId="5AB34FEE" w14:textId="5EBA4C40" w:rsidR="00484F54" w:rsidRPr="00484F54" w:rsidRDefault="00484F54" w:rsidP="00051B76">
            <w:pPr>
              <w:jc w:val="both"/>
              <w:rPr>
                <w:sz w:val="14"/>
                <w:szCs w:val="14"/>
              </w:rPr>
            </w:pPr>
          </w:p>
        </w:tc>
      </w:tr>
    </w:tbl>
    <w:p w14:paraId="57F4E329" w14:textId="6B1BE19A" w:rsidR="00484F54" w:rsidRDefault="00484F54" w:rsidP="00051B76">
      <w:pPr>
        <w:jc w:val="both"/>
      </w:pPr>
    </w:p>
    <w:p w14:paraId="5AA00498" w14:textId="70CFCDEE" w:rsidR="00762860" w:rsidRDefault="00762860" w:rsidP="00762860">
      <w:pPr>
        <w:pStyle w:val="Proposal"/>
      </w:pPr>
      <w:bookmarkStart w:id="2" w:name="_Toc142381811"/>
      <w:r>
        <w:t xml:space="preserve">For the “DCI-based direct indication” in NB-IoT, if the WA is confirmed, the last state in Table 16.4.2-1 (i.e., NPUSCH F2 with SCS = 3.75kHz) and </w:t>
      </w:r>
      <w:r w:rsidR="00FC0E28">
        <w:t xml:space="preserve">in </w:t>
      </w:r>
      <w:r>
        <w:t xml:space="preserve">Table 16.4.2-2 </w:t>
      </w:r>
      <w:r w:rsidR="00352BE4">
        <w:t xml:space="preserve">(i.e., NPUSCH F2 with SCS = 15kHz) </w:t>
      </w:r>
      <w:r>
        <w:t xml:space="preserve">is </w:t>
      </w:r>
      <w:r w:rsidR="00EA0F31">
        <w:t xml:space="preserve">respectively </w:t>
      </w:r>
      <w:r>
        <w:t>used to indicate HARQ feedback disabled.</w:t>
      </w:r>
      <w:bookmarkEnd w:id="2"/>
      <w:r>
        <w:t xml:space="preserve"> </w:t>
      </w:r>
    </w:p>
    <w:p w14:paraId="27AAB2F4" w14:textId="77777777" w:rsidR="00762860" w:rsidRDefault="00762860" w:rsidP="00051B76">
      <w:pPr>
        <w:jc w:val="both"/>
      </w:pPr>
    </w:p>
    <w:p w14:paraId="2E8111A4" w14:textId="0B3C8629" w:rsidR="00484F54" w:rsidRDefault="00484F54" w:rsidP="00484F54">
      <w:pPr>
        <w:jc w:val="both"/>
      </w:pPr>
      <w:r>
        <w:t>For LTE-MTC in CE Mode B, the state in the FFS is one-out-of-the-four available states in the following table from TS 36.213</w:t>
      </w:r>
      <w:r w:rsidR="00222873">
        <w:t xml:space="preserve"> [3]</w:t>
      </w:r>
      <w:r>
        <w:t>:</w:t>
      </w:r>
    </w:p>
    <w:tbl>
      <w:tblPr>
        <w:tblStyle w:val="TableGrid"/>
        <w:tblW w:w="0" w:type="auto"/>
        <w:tblLook w:val="04A0" w:firstRow="1" w:lastRow="0" w:firstColumn="1" w:lastColumn="0" w:noHBand="0" w:noVBand="1"/>
      </w:tblPr>
      <w:tblGrid>
        <w:gridCol w:w="9629"/>
      </w:tblGrid>
      <w:tr w:rsidR="00484F54" w14:paraId="352214EA" w14:textId="77777777" w:rsidTr="00484F54">
        <w:tc>
          <w:tcPr>
            <w:tcW w:w="9629" w:type="dxa"/>
          </w:tcPr>
          <w:p w14:paraId="7E62F370" w14:textId="2EF4D28B" w:rsidR="00484F54" w:rsidRPr="00484F54" w:rsidRDefault="00484F54" w:rsidP="00484F54">
            <w:pPr>
              <w:pStyle w:val="TH"/>
              <w:rPr>
                <w:sz w:val="14"/>
                <w:szCs w:val="14"/>
              </w:rPr>
            </w:pPr>
            <w:bookmarkStart w:id="3" w:name="_Hlk136512609"/>
            <w:r w:rsidRPr="00484F54">
              <w:rPr>
                <w:sz w:val="14"/>
                <w:szCs w:val="14"/>
              </w:rPr>
              <w:t>Table 10.1.2.1-1</w:t>
            </w:r>
            <w:bookmarkEnd w:id="3"/>
            <w:r w:rsidRPr="00484F54">
              <w:rPr>
                <w:sz w:val="14"/>
                <w:szCs w:val="14"/>
              </w:rPr>
              <w:t xml:space="preserve">: Mapping of ACK/NACK Resource offset Field </w:t>
            </w:r>
            <w:r w:rsidRPr="00484F54">
              <w:rPr>
                <w:sz w:val="14"/>
                <w:szCs w:val="14"/>
              </w:rPr>
              <w:br/>
              <w:t xml:space="preserve">in DCI format 1A/1B/1D/1/2A/2/2B/2C/2D/6-1A/6-1B to </w:t>
            </w:r>
            <w:r w:rsidRPr="00484F54">
              <w:rPr>
                <w:noProof/>
                <w:position w:val="-12"/>
                <w:sz w:val="14"/>
                <w:szCs w:val="14"/>
              </w:rPr>
              <w:drawing>
                <wp:inline distT="0" distB="0" distL="0" distR="0" wp14:anchorId="187CEC50" wp14:editId="0B826ECA">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484F54">
              <w:rPr>
                <w:sz w:val="14"/>
                <w:szCs w:val="14"/>
              </w:rPr>
              <w:t>values</w:t>
            </w:r>
          </w:p>
        </w:tc>
      </w:tr>
      <w:tr w:rsidR="00484F54" w14:paraId="52F08C70" w14:textId="77777777" w:rsidTr="00484F54">
        <w:tc>
          <w:tcPr>
            <w:tcW w:w="9629" w:type="dxa"/>
          </w:tcPr>
          <w:p w14:paraId="251B8481" w14:textId="77777777" w:rsidR="00484F54" w:rsidRPr="00484F54" w:rsidRDefault="00484F54" w:rsidP="00484F54">
            <w:pPr>
              <w:jc w:val="both"/>
              <w:rPr>
                <w:sz w:val="14"/>
                <w:szCs w:val="1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711"/>
            </w:tblGrid>
            <w:tr w:rsidR="00484F54" w:rsidRPr="00484F54" w14:paraId="2449AA06" w14:textId="77777777" w:rsidTr="002B490C">
              <w:trPr>
                <w:cantSplit/>
                <w:jc w:val="center"/>
              </w:trPr>
              <w:tc>
                <w:tcPr>
                  <w:tcW w:w="0" w:type="auto"/>
                  <w:shd w:val="clear" w:color="auto" w:fill="E0E0E0"/>
                  <w:vAlign w:val="center"/>
                </w:tcPr>
                <w:p w14:paraId="3B32DEE5" w14:textId="77777777" w:rsidR="00484F54" w:rsidRPr="00484F54" w:rsidRDefault="00484F54" w:rsidP="00484F54">
                  <w:pPr>
                    <w:pStyle w:val="TAH"/>
                    <w:rPr>
                      <w:sz w:val="14"/>
                      <w:szCs w:val="14"/>
                    </w:rPr>
                  </w:pPr>
                  <w:r w:rsidRPr="00484F54">
                    <w:rPr>
                      <w:sz w:val="14"/>
                      <w:szCs w:val="14"/>
                    </w:rPr>
                    <w:t xml:space="preserve">ACK/NACK Resource offset field </w:t>
                  </w:r>
                  <w:r w:rsidRPr="00484F54">
                    <w:rPr>
                      <w:sz w:val="14"/>
                      <w:szCs w:val="14"/>
                    </w:rPr>
                    <w:br/>
                    <w:t>in DCI format 1A/1B/1D/1/2A/2/2B/2C/2D/6-1A/6-1B</w:t>
                  </w:r>
                </w:p>
              </w:tc>
              <w:tc>
                <w:tcPr>
                  <w:tcW w:w="0" w:type="auto"/>
                  <w:shd w:val="clear" w:color="auto" w:fill="E0E0E0"/>
                  <w:vAlign w:val="center"/>
                </w:tcPr>
                <w:p w14:paraId="299DC2DF" w14:textId="77777777" w:rsidR="00484F54" w:rsidRPr="00484F54" w:rsidRDefault="00484F54" w:rsidP="00484F54">
                  <w:pPr>
                    <w:pStyle w:val="TAH"/>
                    <w:rPr>
                      <w:sz w:val="14"/>
                      <w:szCs w:val="14"/>
                    </w:rPr>
                  </w:pPr>
                  <w:r w:rsidRPr="00484F54">
                    <w:rPr>
                      <w:noProof/>
                      <w:position w:val="-12"/>
                      <w:sz w:val="14"/>
                      <w:szCs w:val="14"/>
                    </w:rPr>
                    <w:drawing>
                      <wp:inline distT="0" distB="0" distL="0" distR="0" wp14:anchorId="3408F702" wp14:editId="56F8E191">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484F54" w:rsidRPr="00484F54" w14:paraId="19872D7E" w14:textId="77777777" w:rsidTr="002B490C">
              <w:trPr>
                <w:cantSplit/>
                <w:jc w:val="center"/>
              </w:trPr>
              <w:tc>
                <w:tcPr>
                  <w:tcW w:w="0" w:type="auto"/>
                  <w:vAlign w:val="center"/>
                </w:tcPr>
                <w:p w14:paraId="390C66D2" w14:textId="77777777" w:rsidR="00484F54" w:rsidRPr="00484F54" w:rsidRDefault="00484F54" w:rsidP="00484F54">
                  <w:pPr>
                    <w:pStyle w:val="TAC"/>
                    <w:rPr>
                      <w:sz w:val="14"/>
                      <w:szCs w:val="14"/>
                    </w:rPr>
                  </w:pPr>
                  <w:r w:rsidRPr="00484F54">
                    <w:rPr>
                      <w:sz w:val="14"/>
                      <w:szCs w:val="14"/>
                    </w:rPr>
                    <w:t>0</w:t>
                  </w:r>
                </w:p>
              </w:tc>
              <w:tc>
                <w:tcPr>
                  <w:tcW w:w="0" w:type="auto"/>
                  <w:vAlign w:val="center"/>
                </w:tcPr>
                <w:p w14:paraId="2BD15A6F" w14:textId="77777777" w:rsidR="00484F54" w:rsidRPr="00484F54" w:rsidRDefault="00484F54" w:rsidP="00484F54">
                  <w:pPr>
                    <w:pStyle w:val="TAC"/>
                    <w:rPr>
                      <w:sz w:val="14"/>
                      <w:szCs w:val="14"/>
                    </w:rPr>
                  </w:pPr>
                  <w:r w:rsidRPr="00484F54">
                    <w:rPr>
                      <w:sz w:val="14"/>
                      <w:szCs w:val="14"/>
                    </w:rPr>
                    <w:t>0</w:t>
                  </w:r>
                </w:p>
              </w:tc>
            </w:tr>
            <w:tr w:rsidR="00484F54" w:rsidRPr="00484F54" w14:paraId="58D12098" w14:textId="77777777" w:rsidTr="002B490C">
              <w:trPr>
                <w:cantSplit/>
                <w:jc w:val="center"/>
              </w:trPr>
              <w:tc>
                <w:tcPr>
                  <w:tcW w:w="0" w:type="auto"/>
                  <w:vAlign w:val="center"/>
                </w:tcPr>
                <w:p w14:paraId="71E8F417" w14:textId="77777777" w:rsidR="00484F54" w:rsidRPr="00484F54" w:rsidRDefault="00484F54" w:rsidP="00484F54">
                  <w:pPr>
                    <w:pStyle w:val="TAC"/>
                    <w:rPr>
                      <w:sz w:val="14"/>
                      <w:szCs w:val="14"/>
                    </w:rPr>
                  </w:pPr>
                  <w:r w:rsidRPr="00484F54">
                    <w:rPr>
                      <w:sz w:val="14"/>
                      <w:szCs w:val="14"/>
                    </w:rPr>
                    <w:t>1</w:t>
                  </w:r>
                </w:p>
              </w:tc>
              <w:tc>
                <w:tcPr>
                  <w:tcW w:w="0" w:type="auto"/>
                  <w:vAlign w:val="center"/>
                </w:tcPr>
                <w:p w14:paraId="10E914D6" w14:textId="77777777" w:rsidR="00484F54" w:rsidRPr="00484F54" w:rsidRDefault="00484F54" w:rsidP="00484F54">
                  <w:pPr>
                    <w:pStyle w:val="TAC"/>
                    <w:rPr>
                      <w:sz w:val="14"/>
                      <w:szCs w:val="14"/>
                    </w:rPr>
                  </w:pPr>
                  <w:r w:rsidRPr="00484F54">
                    <w:rPr>
                      <w:sz w:val="14"/>
                      <w:szCs w:val="14"/>
                    </w:rPr>
                    <w:t>-1</w:t>
                  </w:r>
                </w:p>
              </w:tc>
            </w:tr>
            <w:tr w:rsidR="00484F54" w:rsidRPr="00484F54" w14:paraId="1F9FE8F6" w14:textId="77777777" w:rsidTr="002B490C">
              <w:trPr>
                <w:cantSplit/>
                <w:jc w:val="center"/>
              </w:trPr>
              <w:tc>
                <w:tcPr>
                  <w:tcW w:w="0" w:type="auto"/>
                  <w:vAlign w:val="center"/>
                </w:tcPr>
                <w:p w14:paraId="69DC52AA" w14:textId="77777777" w:rsidR="00484F54" w:rsidRPr="00484F54" w:rsidRDefault="00484F54" w:rsidP="00484F54">
                  <w:pPr>
                    <w:pStyle w:val="TAC"/>
                    <w:rPr>
                      <w:sz w:val="14"/>
                      <w:szCs w:val="14"/>
                    </w:rPr>
                  </w:pPr>
                  <w:r w:rsidRPr="00484F54">
                    <w:rPr>
                      <w:sz w:val="14"/>
                      <w:szCs w:val="14"/>
                    </w:rPr>
                    <w:t>2</w:t>
                  </w:r>
                </w:p>
              </w:tc>
              <w:tc>
                <w:tcPr>
                  <w:tcW w:w="0" w:type="auto"/>
                  <w:vAlign w:val="center"/>
                </w:tcPr>
                <w:p w14:paraId="445C2FBB" w14:textId="77777777" w:rsidR="00484F54" w:rsidRPr="00484F54" w:rsidRDefault="00484F54" w:rsidP="00484F54">
                  <w:pPr>
                    <w:pStyle w:val="TAC"/>
                    <w:rPr>
                      <w:sz w:val="14"/>
                      <w:szCs w:val="14"/>
                    </w:rPr>
                  </w:pPr>
                  <w:r w:rsidRPr="00484F54">
                    <w:rPr>
                      <w:sz w:val="14"/>
                      <w:szCs w:val="14"/>
                    </w:rPr>
                    <w:t>-2</w:t>
                  </w:r>
                </w:p>
              </w:tc>
            </w:tr>
            <w:tr w:rsidR="00484F54" w:rsidRPr="00484F54" w14:paraId="1B1C9EE8" w14:textId="77777777" w:rsidTr="002B490C">
              <w:trPr>
                <w:cantSplit/>
                <w:jc w:val="center"/>
              </w:trPr>
              <w:tc>
                <w:tcPr>
                  <w:tcW w:w="0" w:type="auto"/>
                  <w:vAlign w:val="center"/>
                </w:tcPr>
                <w:p w14:paraId="54B8D88B" w14:textId="77777777" w:rsidR="00484F54" w:rsidRPr="00484F54" w:rsidRDefault="00484F54" w:rsidP="00484F54">
                  <w:pPr>
                    <w:pStyle w:val="TAC"/>
                    <w:rPr>
                      <w:sz w:val="14"/>
                      <w:szCs w:val="14"/>
                    </w:rPr>
                  </w:pPr>
                  <w:r w:rsidRPr="00484F54">
                    <w:rPr>
                      <w:sz w:val="14"/>
                      <w:szCs w:val="14"/>
                    </w:rPr>
                    <w:t>3</w:t>
                  </w:r>
                </w:p>
              </w:tc>
              <w:tc>
                <w:tcPr>
                  <w:tcW w:w="0" w:type="auto"/>
                  <w:vAlign w:val="center"/>
                </w:tcPr>
                <w:p w14:paraId="525828A8" w14:textId="77777777" w:rsidR="00484F54" w:rsidRPr="00484F54" w:rsidRDefault="00484F54" w:rsidP="00484F54">
                  <w:pPr>
                    <w:pStyle w:val="TAC"/>
                    <w:rPr>
                      <w:sz w:val="14"/>
                      <w:szCs w:val="14"/>
                    </w:rPr>
                  </w:pPr>
                  <w:r w:rsidRPr="00484F54">
                    <w:rPr>
                      <w:sz w:val="14"/>
                      <w:szCs w:val="14"/>
                    </w:rPr>
                    <w:t>2</w:t>
                  </w:r>
                </w:p>
              </w:tc>
            </w:tr>
          </w:tbl>
          <w:p w14:paraId="14F2A1B8" w14:textId="77777777" w:rsidR="00484F54" w:rsidRPr="00484F54" w:rsidRDefault="00484F54" w:rsidP="00DC141A">
            <w:pPr>
              <w:spacing w:after="0"/>
              <w:jc w:val="both"/>
              <w:rPr>
                <w:sz w:val="14"/>
                <w:szCs w:val="14"/>
              </w:rPr>
            </w:pPr>
          </w:p>
          <w:p w14:paraId="1A553C21" w14:textId="577A96A8" w:rsidR="00484F54" w:rsidRPr="00484F54" w:rsidRDefault="00484F54" w:rsidP="00484F54">
            <w:pPr>
              <w:spacing w:after="0"/>
              <w:jc w:val="both"/>
              <w:rPr>
                <w:sz w:val="14"/>
                <w:szCs w:val="14"/>
              </w:rPr>
            </w:pPr>
          </w:p>
        </w:tc>
      </w:tr>
    </w:tbl>
    <w:p w14:paraId="1A50D8D1" w14:textId="77777777" w:rsidR="00484F54" w:rsidRDefault="00484F54" w:rsidP="00484F54">
      <w:pPr>
        <w:jc w:val="both"/>
      </w:pPr>
    </w:p>
    <w:p w14:paraId="408859BC" w14:textId="519BC469" w:rsidR="00484F54" w:rsidRDefault="00762860" w:rsidP="00484F54">
      <w:pPr>
        <w:pStyle w:val="Proposal"/>
      </w:pPr>
      <w:bookmarkStart w:id="4" w:name="_Toc142381812"/>
      <w:r>
        <w:t xml:space="preserve">For the “DCI-based direct indication” in LTE-MTC, if the WA is confirmed, </w:t>
      </w:r>
      <w:r w:rsidR="00136760">
        <w:t>the last state</w:t>
      </w:r>
      <w:r w:rsidR="005B6FCB">
        <w:t xml:space="preserve"> in </w:t>
      </w:r>
      <w:r w:rsidR="005B6FCB" w:rsidRPr="005B6FCB">
        <w:t>Table 10.1.2.1-1</w:t>
      </w:r>
      <w:r w:rsidR="005B6FCB">
        <w:t xml:space="preserve"> is </w:t>
      </w:r>
      <w:r>
        <w:t>used to indicate HARQ feedback disabled</w:t>
      </w:r>
      <w:r w:rsidR="005B6FCB">
        <w:t>.</w:t>
      </w:r>
      <w:bookmarkEnd w:id="4"/>
    </w:p>
    <w:p w14:paraId="5ED33725" w14:textId="1AFB29D4" w:rsidR="00941EF3" w:rsidRDefault="00941EF3" w:rsidP="00941EF3">
      <w:pPr>
        <w:pStyle w:val="Heading2"/>
      </w:pPr>
      <w:r>
        <w:lastRenderedPageBreak/>
        <w:t>2.2</w:t>
      </w:r>
      <w:r>
        <w:tab/>
        <w:t>Working Assumption on the “</w:t>
      </w:r>
      <w:r>
        <w:rPr>
          <w:rFonts w:ascii="Times New Roman" w:hAnsi="Times New Roman"/>
          <w:i/>
          <w:iCs/>
        </w:rPr>
        <w:t>DCI-based Overriding</w:t>
      </w:r>
      <w:r>
        <w:t>” solution</w:t>
      </w:r>
    </w:p>
    <w:p w14:paraId="52CB247B" w14:textId="77777777" w:rsidR="00DC141A" w:rsidRDefault="00DC141A" w:rsidP="00DC141A">
      <w:pPr>
        <w:jc w:val="both"/>
      </w:pPr>
      <w:r>
        <w:t xml:space="preserve">For </w:t>
      </w:r>
      <w:r w:rsidRPr="00DC141A">
        <w:t>“DCI-based overriding indication</w:t>
      </w:r>
      <w:r>
        <w:t>,</w:t>
      </w:r>
      <w:r w:rsidRPr="00DC141A">
        <w:t>”</w:t>
      </w:r>
      <w:r>
        <w:t xml:space="preserve"> in RAN1# 113 the following Working Assumptions (WAs) were reached:</w:t>
      </w:r>
    </w:p>
    <w:tbl>
      <w:tblPr>
        <w:tblStyle w:val="TableGrid"/>
        <w:tblW w:w="0" w:type="auto"/>
        <w:tblLook w:val="04A0" w:firstRow="1" w:lastRow="0" w:firstColumn="1" w:lastColumn="0" w:noHBand="0" w:noVBand="1"/>
      </w:tblPr>
      <w:tblGrid>
        <w:gridCol w:w="9629"/>
      </w:tblGrid>
      <w:tr w:rsidR="00DC141A" w14:paraId="43BDA985" w14:textId="77777777" w:rsidTr="00DC141A">
        <w:tc>
          <w:tcPr>
            <w:tcW w:w="9629" w:type="dxa"/>
          </w:tcPr>
          <w:p w14:paraId="02489394" w14:textId="77777777" w:rsidR="00DC141A" w:rsidRPr="00DC141A" w:rsidRDefault="00DC141A" w:rsidP="00DC141A">
            <w:pPr>
              <w:overflowPunct/>
              <w:autoSpaceDE/>
              <w:autoSpaceDN/>
              <w:adjustRightInd/>
              <w:spacing w:after="0"/>
              <w:textAlignment w:val="auto"/>
              <w:rPr>
                <w:rFonts w:ascii="Times" w:eastAsia="Batang" w:hAnsi="Times"/>
                <w:b/>
                <w:bCs/>
                <w:sz w:val="14"/>
                <w:szCs w:val="14"/>
                <w:highlight w:val="green"/>
                <w:lang w:eastAsia="en-US"/>
              </w:rPr>
            </w:pPr>
            <w:bookmarkStart w:id="5" w:name="_Hlk135835537"/>
            <w:r w:rsidRPr="00DC141A">
              <w:rPr>
                <w:rFonts w:ascii="Times" w:eastAsia="Batang" w:hAnsi="Times"/>
                <w:b/>
                <w:bCs/>
                <w:sz w:val="14"/>
                <w:szCs w:val="14"/>
                <w:highlight w:val="green"/>
                <w:lang w:eastAsia="en-US"/>
              </w:rPr>
              <w:t>Agreement</w:t>
            </w:r>
          </w:p>
          <w:p w14:paraId="35523C54" w14:textId="77777777" w:rsidR="00DC141A" w:rsidRPr="00DC141A" w:rsidRDefault="00DC141A" w:rsidP="00DC141A">
            <w:pPr>
              <w:overflowPunct/>
              <w:autoSpaceDE/>
              <w:autoSpaceDN/>
              <w:adjustRightInd/>
              <w:spacing w:after="0"/>
              <w:textAlignment w:val="auto"/>
              <w:rPr>
                <w:rFonts w:ascii="Times" w:eastAsia="Batang" w:hAnsi="Times"/>
                <w:sz w:val="14"/>
                <w:szCs w:val="14"/>
                <w:lang w:eastAsia="en-US"/>
              </w:rPr>
            </w:pPr>
            <w:r w:rsidRPr="00DC141A">
              <w:rPr>
                <w:rFonts w:ascii="Times" w:eastAsia="Batang" w:hAnsi="Times"/>
                <w:sz w:val="14"/>
                <w:szCs w:val="14"/>
                <w:lang w:eastAsia="en-US"/>
              </w:rPr>
              <w:t xml:space="preserve">For single TB scheduled by DCI, </w:t>
            </w:r>
          </w:p>
          <w:p w14:paraId="2EE138C3" w14:textId="77777777" w:rsidR="00DC141A" w:rsidRPr="00DC141A" w:rsidRDefault="00DC141A" w:rsidP="00BD3507">
            <w:pPr>
              <w:numPr>
                <w:ilvl w:val="0"/>
                <w:numId w:val="39"/>
              </w:numPr>
              <w:spacing w:after="0"/>
              <w:contextualSpacing/>
              <w:rPr>
                <w:rFonts w:eastAsia="Batang"/>
                <w:sz w:val="14"/>
                <w:szCs w:val="14"/>
                <w:lang w:eastAsia="x-none"/>
              </w:rPr>
            </w:pPr>
            <w:r w:rsidRPr="00DC141A">
              <w:rPr>
                <w:rFonts w:ascii="Times" w:eastAsia="Batang" w:hAnsi="Times" w:hint="eastAsia"/>
                <w:sz w:val="14"/>
                <w:szCs w:val="14"/>
                <w:highlight w:val="darkYellow"/>
                <w:lang w:eastAsia="x-none"/>
              </w:rPr>
              <w:t>Work</w:t>
            </w:r>
            <w:r w:rsidRPr="00DC141A">
              <w:rPr>
                <w:rFonts w:ascii="Times" w:eastAsia="Batang" w:hAnsi="Times"/>
                <w:sz w:val="14"/>
                <w:szCs w:val="14"/>
                <w:highlight w:val="darkYellow"/>
                <w:lang w:eastAsia="x-none"/>
              </w:rPr>
              <w:t>ing assumption 1</w:t>
            </w:r>
            <w:r w:rsidRPr="00DC141A">
              <w:rPr>
                <w:rFonts w:ascii="Times" w:eastAsia="Batang" w:hAnsi="Times"/>
                <w:sz w:val="14"/>
                <w:szCs w:val="14"/>
                <w:lang w:eastAsia="x-none"/>
              </w:rPr>
              <w:t xml:space="preserve"> </w:t>
            </w:r>
            <w:r w:rsidRPr="00DC141A">
              <w:rPr>
                <w:rFonts w:eastAsia="Batang"/>
                <w:sz w:val="14"/>
                <w:szCs w:val="14"/>
                <w:lang w:eastAsia="x-none"/>
              </w:rPr>
              <w:t>DCI based overridden indication is applied to both semi-statically HARQ disabled and enabled processes</w:t>
            </w:r>
          </w:p>
          <w:p w14:paraId="114B5DF2" w14:textId="77777777" w:rsidR="00DC141A" w:rsidRPr="00DC141A" w:rsidRDefault="00DC141A" w:rsidP="00BD3507">
            <w:pPr>
              <w:numPr>
                <w:ilvl w:val="1"/>
                <w:numId w:val="39"/>
              </w:numPr>
              <w:spacing w:after="0"/>
              <w:contextualSpacing/>
              <w:rPr>
                <w:rFonts w:eastAsia="Batang"/>
                <w:sz w:val="14"/>
                <w:szCs w:val="14"/>
                <w:lang w:eastAsia="x-none"/>
              </w:rPr>
            </w:pPr>
            <w:r w:rsidRPr="00DC141A">
              <w:rPr>
                <w:rFonts w:eastAsia="Batang"/>
                <w:sz w:val="14"/>
                <w:szCs w:val="14"/>
                <w:lang w:eastAsia="x-none"/>
              </w:rPr>
              <w:t xml:space="preserve">For DCI based overridden indication, adopt </w:t>
            </w:r>
            <w:r w:rsidRPr="00DC141A">
              <w:rPr>
                <w:rFonts w:eastAsia="Batang"/>
                <w:sz w:val="14"/>
                <w:szCs w:val="14"/>
                <w:lang w:eastAsia="zh-CN"/>
              </w:rPr>
              <w:t>i</w:t>
            </w:r>
            <w:r w:rsidRPr="00DC141A">
              <w:rPr>
                <w:rFonts w:eastAsia="Batang"/>
                <w:sz w:val="14"/>
                <w:szCs w:val="14"/>
                <w:lang w:eastAsia="x-none"/>
              </w:rPr>
              <w:t>ndication by reusing/reinterpreting HARQ-ACK related field in DCI</w:t>
            </w:r>
          </w:p>
          <w:p w14:paraId="135FBCDF" w14:textId="77777777" w:rsidR="00DC141A" w:rsidRPr="00DC141A" w:rsidRDefault="00DC141A" w:rsidP="00BD3507">
            <w:pPr>
              <w:numPr>
                <w:ilvl w:val="2"/>
                <w:numId w:val="39"/>
              </w:numPr>
              <w:spacing w:after="0"/>
              <w:contextualSpacing/>
              <w:rPr>
                <w:rFonts w:eastAsia="Batang"/>
                <w:sz w:val="14"/>
                <w:szCs w:val="14"/>
                <w:lang w:eastAsia="x-none"/>
              </w:rPr>
            </w:pPr>
            <w:r w:rsidRPr="00DC141A">
              <w:rPr>
                <w:rFonts w:eastAsia="Batang"/>
                <w:sz w:val="14"/>
                <w:szCs w:val="14"/>
                <w:lang w:eastAsia="x-none"/>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5ADD7414" w14:textId="77777777" w:rsidR="00DC141A" w:rsidRPr="00DC141A" w:rsidRDefault="00DC141A" w:rsidP="00BD3507">
            <w:pPr>
              <w:numPr>
                <w:ilvl w:val="3"/>
                <w:numId w:val="39"/>
              </w:numPr>
              <w:spacing w:after="0"/>
              <w:contextualSpacing/>
              <w:rPr>
                <w:rFonts w:eastAsia="Batang"/>
                <w:sz w:val="14"/>
                <w:szCs w:val="14"/>
                <w:lang w:eastAsia="x-none"/>
              </w:rPr>
            </w:pPr>
            <w:r w:rsidRPr="00DC141A">
              <w:rPr>
                <w:rFonts w:eastAsia="Batang"/>
                <w:sz w:val="14"/>
                <w:szCs w:val="14"/>
                <w:lang w:eastAsia="x-none"/>
              </w:rPr>
              <w:t>HARQ feedback disabled is reversed to enabled in case of any states other than state A in “HARQ-ACK resource offset”, otherwise is maintained as disabled.</w:t>
            </w:r>
          </w:p>
          <w:p w14:paraId="7CBAFE86" w14:textId="77777777" w:rsidR="00DC141A" w:rsidRPr="00DC141A" w:rsidRDefault="00DC141A" w:rsidP="00BD3507">
            <w:pPr>
              <w:numPr>
                <w:ilvl w:val="3"/>
                <w:numId w:val="39"/>
              </w:numPr>
              <w:spacing w:after="0"/>
              <w:contextualSpacing/>
              <w:rPr>
                <w:rFonts w:eastAsia="Batang"/>
                <w:sz w:val="14"/>
                <w:szCs w:val="14"/>
                <w:lang w:eastAsia="x-none"/>
              </w:rPr>
            </w:pPr>
            <w:r w:rsidRPr="00DC141A">
              <w:rPr>
                <w:rFonts w:eastAsia="Batang"/>
                <w:sz w:val="14"/>
                <w:szCs w:val="14"/>
                <w:lang w:eastAsia="x-none"/>
              </w:rPr>
              <w:t>HARQ feedback enabled is maintained in case of any states other than state A in “HARQ-ACK resource offset”, otherwise is reversed to disabled.</w:t>
            </w:r>
          </w:p>
          <w:p w14:paraId="2CC36406" w14:textId="77777777" w:rsidR="00DC141A" w:rsidRPr="00DC141A" w:rsidRDefault="00DC141A" w:rsidP="00BD3507">
            <w:pPr>
              <w:numPr>
                <w:ilvl w:val="4"/>
                <w:numId w:val="39"/>
              </w:numPr>
              <w:spacing w:after="0"/>
              <w:contextualSpacing/>
              <w:rPr>
                <w:rFonts w:eastAsia="Batang"/>
                <w:sz w:val="14"/>
                <w:szCs w:val="14"/>
                <w:lang w:eastAsia="zh-CN"/>
              </w:rPr>
            </w:pPr>
            <w:r w:rsidRPr="00DC141A">
              <w:rPr>
                <w:rFonts w:eastAsia="Batang"/>
                <w:sz w:val="14"/>
                <w:szCs w:val="14"/>
                <w:lang w:eastAsia="zh-CN"/>
              </w:rPr>
              <w:t>FFS: detailed state A</w:t>
            </w:r>
            <w:r w:rsidRPr="00DC141A">
              <w:rPr>
                <w:rFonts w:eastAsia="Batang"/>
                <w:sz w:val="14"/>
                <w:szCs w:val="14"/>
                <w:lang w:eastAsia="x-none"/>
              </w:rPr>
              <w:t>, and whether this state A is different across different UEs</w:t>
            </w:r>
          </w:p>
          <w:p w14:paraId="5EE11212" w14:textId="77777777" w:rsidR="00DC141A" w:rsidRPr="00DC141A" w:rsidRDefault="00DC141A" w:rsidP="00BD3507">
            <w:pPr>
              <w:numPr>
                <w:ilvl w:val="2"/>
                <w:numId w:val="39"/>
              </w:numPr>
              <w:spacing w:after="0"/>
              <w:contextualSpacing/>
              <w:rPr>
                <w:rFonts w:eastAsia="Batang"/>
                <w:sz w:val="14"/>
                <w:szCs w:val="14"/>
                <w:lang w:eastAsia="x-none"/>
              </w:rPr>
            </w:pPr>
            <w:r w:rsidRPr="00DC141A">
              <w:rPr>
                <w:rFonts w:eastAsia="Batang"/>
                <w:sz w:val="14"/>
                <w:szCs w:val="14"/>
                <w:lang w:eastAsia="x-none"/>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7B7F18D9" w14:textId="77777777" w:rsidR="00DC141A" w:rsidRPr="00DC141A" w:rsidRDefault="00DC141A" w:rsidP="00BD3507">
            <w:pPr>
              <w:numPr>
                <w:ilvl w:val="3"/>
                <w:numId w:val="39"/>
              </w:numPr>
              <w:spacing w:after="0"/>
              <w:contextualSpacing/>
              <w:rPr>
                <w:rFonts w:eastAsia="Batang"/>
                <w:sz w:val="14"/>
                <w:szCs w:val="14"/>
                <w:lang w:eastAsia="zh-CN"/>
              </w:rPr>
            </w:pPr>
            <w:r w:rsidRPr="00DC141A">
              <w:rPr>
                <w:rFonts w:eastAsia="Batang"/>
                <w:sz w:val="14"/>
                <w:szCs w:val="14"/>
                <w:lang w:eastAsia="zh-CN"/>
              </w:rPr>
              <w:t>The same DCI indication functionality as eMTC is adopted.</w:t>
            </w:r>
          </w:p>
          <w:p w14:paraId="55E934A4" w14:textId="77777777" w:rsidR="00DC141A" w:rsidRPr="00DC141A" w:rsidRDefault="00DC141A" w:rsidP="00BD3507">
            <w:pPr>
              <w:numPr>
                <w:ilvl w:val="0"/>
                <w:numId w:val="39"/>
              </w:numPr>
              <w:spacing w:after="0"/>
              <w:contextualSpacing/>
              <w:rPr>
                <w:rFonts w:eastAsia="Times New Roman"/>
                <w:sz w:val="14"/>
                <w:szCs w:val="14"/>
                <w:lang w:eastAsia="x-none"/>
              </w:rPr>
            </w:pPr>
            <w:r w:rsidRPr="00DC141A">
              <w:rPr>
                <w:rFonts w:eastAsia="Batang"/>
                <w:sz w:val="14"/>
                <w:szCs w:val="14"/>
                <w:highlight w:val="darkYellow"/>
                <w:lang w:eastAsia="zh-CN"/>
              </w:rPr>
              <w:t>Working assumption 2</w:t>
            </w:r>
            <w:r w:rsidRPr="00DC141A">
              <w:rPr>
                <w:rFonts w:eastAsia="Batang"/>
                <w:sz w:val="14"/>
                <w:szCs w:val="14"/>
                <w:lang w:eastAsia="zh-CN"/>
              </w:rPr>
              <w:t xml:space="preserve"> For Option 1 + Option 3 DCI based overridden mechanism, for a HARQ process configured as HARQ feedback disabled by per-HARQ process bitmap signaling and</w:t>
            </w:r>
            <w:r w:rsidRPr="00DC141A">
              <w:rPr>
                <w:rFonts w:eastAsia="Batang"/>
                <w:sz w:val="14"/>
                <w:szCs w:val="14"/>
                <w:lang w:eastAsia="x-none"/>
              </w:rPr>
              <w:t xml:space="preserve"> further </w:t>
            </w:r>
            <w:r w:rsidRPr="00DC141A">
              <w:rPr>
                <w:rFonts w:eastAsia="Batang"/>
                <w:sz w:val="14"/>
                <w:szCs w:val="14"/>
                <w:lang w:eastAsia="zh-CN"/>
              </w:rPr>
              <w:t xml:space="preserve">reversed to HARQ feedback enabled </w:t>
            </w:r>
            <w:r w:rsidRPr="00DC141A">
              <w:rPr>
                <w:rFonts w:eastAsia="Batang"/>
                <w:sz w:val="14"/>
                <w:szCs w:val="14"/>
                <w:lang w:eastAsia="x-none"/>
              </w:rPr>
              <w:t>by DCI</w:t>
            </w:r>
            <w:r w:rsidRPr="00DC141A">
              <w:rPr>
                <w:rFonts w:eastAsia="Batang"/>
                <w:sz w:val="14"/>
                <w:szCs w:val="14"/>
                <w:lang w:eastAsia="zh-CN"/>
              </w:rPr>
              <w:t>, the NBIoT UE does not wait for an RTT+3ms (</w:t>
            </w:r>
            <w:r w:rsidRPr="00DC141A">
              <w:rPr>
                <w:rFonts w:eastAsia="Batang" w:hint="eastAsia"/>
                <w:sz w:val="14"/>
                <w:szCs w:val="14"/>
                <w:lang w:eastAsia="zh-CN"/>
              </w:rPr>
              <w:t>i.</w:t>
            </w:r>
            <w:r w:rsidRPr="00DC141A">
              <w:rPr>
                <w:rFonts w:eastAsia="Batang"/>
                <w:sz w:val="14"/>
                <w:szCs w:val="14"/>
                <w:lang w:eastAsia="zh-CN"/>
              </w:rPr>
              <w:t xml:space="preserve">e., till subframe </w:t>
            </w:r>
            <w:r w:rsidRPr="00DC141A">
              <w:rPr>
                <w:rFonts w:eastAsia="Batang"/>
                <w:i/>
                <w:iCs/>
                <w:sz w:val="14"/>
                <w:szCs w:val="14"/>
                <w:lang w:eastAsia="zh-CN"/>
              </w:rPr>
              <w:t>n+Kmac+3</w:t>
            </w:r>
            <w:r w:rsidRPr="00DC141A">
              <w:rPr>
                <w:rFonts w:eastAsia="Batang"/>
                <w:sz w:val="14"/>
                <w:szCs w:val="14"/>
                <w:lang w:eastAsia="zh-CN"/>
              </w:rPr>
              <w:t xml:space="preserve"> in TS36.213 section 16.6) before monitoring NPDCCH for the same HARQ process (or monitoring any NPDCCH for the case of single HARQ process configuration). </w:t>
            </w:r>
          </w:p>
          <w:p w14:paraId="6E956280" w14:textId="77777777" w:rsidR="00DC141A" w:rsidRPr="00DC141A" w:rsidRDefault="00DC141A" w:rsidP="00BD3507">
            <w:pPr>
              <w:numPr>
                <w:ilvl w:val="0"/>
                <w:numId w:val="39"/>
              </w:numPr>
              <w:spacing w:after="0"/>
              <w:contextualSpacing/>
              <w:rPr>
                <w:rFonts w:ascii="Times" w:eastAsia="Batang" w:hAnsi="Times"/>
                <w:sz w:val="14"/>
                <w:szCs w:val="14"/>
                <w:lang w:eastAsia="ko-KR"/>
              </w:rPr>
            </w:pPr>
            <w:r w:rsidRPr="00DC141A">
              <w:rPr>
                <w:rFonts w:ascii="Times" w:eastAsia="Batang" w:hAnsi="Times"/>
                <w:sz w:val="14"/>
                <w:szCs w:val="14"/>
                <w:lang w:eastAsia="ko-KR"/>
              </w:rPr>
              <w:t>Send an LS to RAN2 with the following contents:</w:t>
            </w:r>
          </w:p>
          <w:p w14:paraId="73F0AA0E" w14:textId="77777777" w:rsidR="00DC141A" w:rsidRPr="00DC141A" w:rsidRDefault="00DC141A" w:rsidP="00BD3507">
            <w:pPr>
              <w:numPr>
                <w:ilvl w:val="1"/>
                <w:numId w:val="39"/>
              </w:numPr>
              <w:spacing w:after="0"/>
              <w:contextualSpacing/>
              <w:rPr>
                <w:rFonts w:ascii="Times" w:eastAsia="Batang" w:hAnsi="Times"/>
                <w:sz w:val="14"/>
                <w:szCs w:val="14"/>
                <w:lang w:eastAsia="ko-KR"/>
              </w:rPr>
            </w:pPr>
            <w:r w:rsidRPr="00DC141A">
              <w:rPr>
                <w:rFonts w:ascii="Times" w:eastAsia="Batang" w:hAnsi="Times"/>
                <w:sz w:val="14"/>
                <w:szCs w:val="14"/>
                <w:lang w:eastAsia="ko-KR"/>
              </w:rPr>
              <w:t>RAN1 respectfully ask RAN2 for the feasibility of Working assumption 2 (taking into account potential RAN2 spec impact).</w:t>
            </w:r>
          </w:p>
          <w:bookmarkEnd w:id="5"/>
          <w:p w14:paraId="269BD817" w14:textId="77777777" w:rsidR="00DC141A" w:rsidRDefault="00DC141A" w:rsidP="00DC141A">
            <w:pPr>
              <w:jc w:val="both"/>
            </w:pPr>
          </w:p>
        </w:tc>
      </w:tr>
    </w:tbl>
    <w:p w14:paraId="5DE37D15" w14:textId="77777777" w:rsidR="00DC141A" w:rsidRDefault="00DC141A" w:rsidP="00DC141A">
      <w:pPr>
        <w:jc w:val="both"/>
      </w:pPr>
    </w:p>
    <w:p w14:paraId="7188043A" w14:textId="6C396ED5" w:rsidR="00D669A3" w:rsidRDefault="00D669A3" w:rsidP="00D669A3">
      <w:pPr>
        <w:pStyle w:val="Proposal"/>
      </w:pPr>
      <w:bookmarkStart w:id="6" w:name="_Toc142381813"/>
      <w:r>
        <w:t>Confirm the WA</w:t>
      </w:r>
      <w:r w:rsidR="00EC5FE0">
        <w:t>s</w:t>
      </w:r>
      <w:r>
        <w:t xml:space="preserve"> for the “DCI-based overriding indication” if the corresponding WA for the “DCI-based direct indication” is also confirmed as to have a common DCI design for both DCI-based solutions.</w:t>
      </w:r>
      <w:bookmarkEnd w:id="6"/>
      <w:r>
        <w:t xml:space="preserve"> </w:t>
      </w:r>
    </w:p>
    <w:p w14:paraId="077012A5" w14:textId="77777777" w:rsidR="00D669A3" w:rsidRDefault="00D669A3" w:rsidP="00DC141A">
      <w:pPr>
        <w:jc w:val="both"/>
      </w:pPr>
    </w:p>
    <w:p w14:paraId="29473DF1" w14:textId="5868180A" w:rsidR="008204BC" w:rsidRDefault="008204BC" w:rsidP="008204BC">
      <w:pPr>
        <w:pStyle w:val="Proposal"/>
      </w:pPr>
      <w:bookmarkStart w:id="7" w:name="_Toc142381814"/>
      <w:r>
        <w:t>For the “DCI-based overriding indication” in NB-IoT, if the WA</w:t>
      </w:r>
      <w:r w:rsidR="00EC5FE0">
        <w:t>s</w:t>
      </w:r>
      <w:r>
        <w:t xml:space="preserve"> </w:t>
      </w:r>
      <w:r w:rsidR="00EC5FE0">
        <w:t>are</w:t>
      </w:r>
      <w:r>
        <w:t xml:space="preserve"> confirmed, the last state in Table 16.4.2-1 (i.e., NPUSCH F2 with SCS = 3.75kHz) and </w:t>
      </w:r>
      <w:r w:rsidR="00FC0E28">
        <w:t xml:space="preserve">in </w:t>
      </w:r>
      <w:r>
        <w:t xml:space="preserve">Table 16.4.2-2 </w:t>
      </w:r>
      <w:r w:rsidR="00352BE4">
        <w:t xml:space="preserve">(i.e., NPUSCH F2 with SCS = 15kHz) </w:t>
      </w:r>
      <w:r>
        <w:t xml:space="preserve">is </w:t>
      </w:r>
      <w:r w:rsidR="00EA0F31">
        <w:t xml:space="preserve">respectively </w:t>
      </w:r>
      <w:r>
        <w:t>used to indicate HARQ feedback disabled.</w:t>
      </w:r>
      <w:bookmarkEnd w:id="7"/>
      <w:r>
        <w:t xml:space="preserve"> </w:t>
      </w:r>
    </w:p>
    <w:p w14:paraId="47BD9765" w14:textId="77777777" w:rsidR="00EA73C1" w:rsidRDefault="00EA73C1" w:rsidP="00EA73C1">
      <w:pPr>
        <w:pStyle w:val="ListParagraph"/>
      </w:pPr>
    </w:p>
    <w:p w14:paraId="7713A569" w14:textId="40AEB903" w:rsidR="00EA73C1" w:rsidRDefault="00EA73C1" w:rsidP="00EA73C1">
      <w:pPr>
        <w:pStyle w:val="Proposal"/>
      </w:pPr>
      <w:bookmarkStart w:id="8" w:name="_Toc142381815"/>
      <w:r>
        <w:t>For the “DCI-based overriding indication” in NB-IoT, if the 2</w:t>
      </w:r>
      <w:r w:rsidRPr="00EA73C1">
        <w:rPr>
          <w:vertAlign w:val="superscript"/>
        </w:rPr>
        <w:t>nd</w:t>
      </w:r>
      <w:r>
        <w:t xml:space="preserve"> WA is confirmed, then</w:t>
      </w:r>
      <w:r w:rsidR="001748CC">
        <w:t xml:space="preserve"> f</w:t>
      </w:r>
      <w:r w:rsidR="001748CC" w:rsidRPr="001748CC">
        <w:t>or a NB-IoT UE operating with one</w:t>
      </w:r>
      <w:r w:rsidR="001748CC">
        <w:t xml:space="preserve"> or two</w:t>
      </w:r>
      <w:r w:rsidR="001748CC" w:rsidRPr="001748CC">
        <w:t xml:space="preserve"> HARQ process, the minimum time between the end of </w:t>
      </w:r>
      <w:r w:rsidR="001748CC">
        <w:t xml:space="preserve">the </w:t>
      </w:r>
      <w:r w:rsidR="001748CC" w:rsidRPr="001748CC">
        <w:t>NPUSCH transmission and the start of NPDCCH monitoring is 1 ms</w:t>
      </w:r>
      <w:r w:rsidR="001748CC">
        <w:t>.</w:t>
      </w:r>
      <w:bookmarkEnd w:id="8"/>
    </w:p>
    <w:p w14:paraId="0B5A7BAC" w14:textId="21525A75" w:rsidR="008204BC" w:rsidRDefault="008204BC" w:rsidP="00DC141A">
      <w:pPr>
        <w:jc w:val="both"/>
      </w:pPr>
    </w:p>
    <w:p w14:paraId="127714E7" w14:textId="47654456" w:rsidR="00FC0E28" w:rsidRDefault="00FC0E28" w:rsidP="00FC0E28">
      <w:pPr>
        <w:pStyle w:val="Proposal"/>
      </w:pPr>
      <w:bookmarkStart w:id="9" w:name="_Toc142381816"/>
      <w:r>
        <w:t xml:space="preserve">For the “DCI-based </w:t>
      </w:r>
      <w:r w:rsidR="00BF29A0">
        <w:t>overriding</w:t>
      </w:r>
      <w:r>
        <w:t xml:space="preserve"> indication” in LTE-MTC, if the WA is confirmed, </w:t>
      </w:r>
      <w:r w:rsidR="00136760">
        <w:t>the last state</w:t>
      </w:r>
      <w:r>
        <w:t xml:space="preserve"> in </w:t>
      </w:r>
      <w:r w:rsidRPr="005B6FCB">
        <w:t>Table 10.1.2.1-1</w:t>
      </w:r>
      <w:r>
        <w:t xml:space="preserve"> is used to indicate HARQ feedback disabled.</w:t>
      </w:r>
      <w:bookmarkEnd w:id="9"/>
    </w:p>
    <w:p w14:paraId="6904B422" w14:textId="76E9A3E5" w:rsidR="00DC141A" w:rsidRDefault="00DC141A" w:rsidP="00DC141A">
      <w:pPr>
        <w:jc w:val="both"/>
      </w:pPr>
    </w:p>
    <w:p w14:paraId="57273A4D" w14:textId="26FC1012" w:rsidR="000F231D" w:rsidRDefault="000F231D" w:rsidP="000F231D">
      <w:pPr>
        <w:pStyle w:val="Heading1"/>
      </w:pPr>
      <w:r>
        <w:t>3</w:t>
      </w:r>
      <w:r>
        <w:tab/>
        <w:t>Support of Enabling/Disabling HARQ feedback for</w:t>
      </w:r>
      <w:r w:rsidR="00E95F07">
        <w:t xml:space="preserve"> </w:t>
      </w:r>
      <w:r>
        <w:t>Multi-TB grant</w:t>
      </w:r>
    </w:p>
    <w:p w14:paraId="0F882EED" w14:textId="7E16268A" w:rsidR="0031514F" w:rsidRDefault="0031514F" w:rsidP="0031514F">
      <w:pPr>
        <w:jc w:val="both"/>
      </w:pPr>
      <w:r>
        <w:t>LTE-MTC:</w:t>
      </w:r>
    </w:p>
    <w:p w14:paraId="767D0074" w14:textId="712C058B" w:rsidR="0031514F" w:rsidRDefault="0031514F" w:rsidP="0031514F">
      <w:pPr>
        <w:jc w:val="both"/>
      </w:pPr>
      <w:r w:rsidRPr="00ED6C82">
        <w:t>Multi-TB grant allows scheduling with a single DCI up to 8 TBs in CE mode A, and up to 4 TBs in CE mode B</w:t>
      </w:r>
      <w:r>
        <w:t>.</w:t>
      </w:r>
    </w:p>
    <w:p w14:paraId="3487517C" w14:textId="77777777" w:rsidR="0031514F" w:rsidRDefault="0031514F" w:rsidP="0031514F">
      <w:pPr>
        <w:jc w:val="both"/>
        <w:rPr>
          <w:color w:val="00B050"/>
        </w:rPr>
      </w:pPr>
      <w:r>
        <w:t>NB-IoT:</w:t>
      </w:r>
    </w:p>
    <w:p w14:paraId="464DD8E4" w14:textId="75329603" w:rsidR="0031514F" w:rsidRDefault="0031514F" w:rsidP="0031514F">
      <w:pPr>
        <w:jc w:val="both"/>
      </w:pPr>
      <w:r w:rsidRPr="00ED6C82">
        <w:t>Multi-TB grant allows scheduling of up to two TB</w:t>
      </w:r>
      <w:r w:rsidR="00C03A1A">
        <w:t>s</w:t>
      </w:r>
      <w:r w:rsidRPr="00ED6C82">
        <w:t xml:space="preserve"> with a single DCI for a downlink unicast transmission</w:t>
      </w:r>
      <w:r>
        <w:t>.</w:t>
      </w:r>
    </w:p>
    <w:p w14:paraId="00F65AE9" w14:textId="3F9F487A" w:rsidR="00653821" w:rsidRDefault="00653821" w:rsidP="00DC141A">
      <w:pPr>
        <w:jc w:val="both"/>
      </w:pPr>
      <w:r>
        <w:t>Below we provide our views on the Multi-TB scenarios for both LTE-MTC and NB-IoT:</w:t>
      </w:r>
    </w:p>
    <w:p w14:paraId="769D827F" w14:textId="0251303D" w:rsidR="00653821" w:rsidRDefault="00653821" w:rsidP="00653821">
      <w:pPr>
        <w:pStyle w:val="Heading2"/>
      </w:pPr>
      <w:r>
        <w:lastRenderedPageBreak/>
        <w:t>3.1</w:t>
      </w:r>
      <w:r>
        <w:tab/>
      </w:r>
      <w:r w:rsidR="002C7552">
        <w:t>Multi-TB and the “</w:t>
      </w:r>
      <w:r w:rsidR="002C7552">
        <w:rPr>
          <w:rFonts w:ascii="Times New Roman" w:hAnsi="Times New Roman"/>
          <w:i/>
          <w:iCs/>
        </w:rPr>
        <w:t>DCI-based direct indication</w:t>
      </w:r>
      <w:r w:rsidR="002C7552">
        <w:t>” solution</w:t>
      </w:r>
    </w:p>
    <w:p w14:paraId="4991FC49" w14:textId="600E83A3" w:rsidR="00653821" w:rsidRDefault="002C7552" w:rsidP="00653821">
      <w:r>
        <w:t>For Multi-TB and the “DCI-based direct indication” solution, the following has been agreed in RAN1# 113:</w:t>
      </w:r>
    </w:p>
    <w:tbl>
      <w:tblPr>
        <w:tblStyle w:val="TableGrid"/>
        <w:tblW w:w="0" w:type="auto"/>
        <w:tblLook w:val="04A0" w:firstRow="1" w:lastRow="0" w:firstColumn="1" w:lastColumn="0" w:noHBand="0" w:noVBand="1"/>
      </w:tblPr>
      <w:tblGrid>
        <w:gridCol w:w="9629"/>
      </w:tblGrid>
      <w:tr w:rsidR="002C7552" w14:paraId="4892FDA9" w14:textId="77777777" w:rsidTr="002C7552">
        <w:tc>
          <w:tcPr>
            <w:tcW w:w="9629" w:type="dxa"/>
          </w:tcPr>
          <w:p w14:paraId="071BEB8E" w14:textId="77777777" w:rsidR="002C7552" w:rsidRDefault="002C7552" w:rsidP="002C7552">
            <w:pPr>
              <w:overflowPunct/>
              <w:autoSpaceDE/>
              <w:autoSpaceDN/>
              <w:adjustRightInd/>
              <w:spacing w:after="0"/>
              <w:textAlignment w:val="auto"/>
              <w:rPr>
                <w:rFonts w:ascii="Times" w:eastAsia="Batang" w:hAnsi="Times"/>
                <w:b/>
                <w:bCs/>
                <w:iCs/>
                <w:sz w:val="14"/>
                <w:szCs w:val="14"/>
                <w:highlight w:val="green"/>
                <w:lang w:eastAsia="zh-CN"/>
              </w:rPr>
            </w:pPr>
          </w:p>
          <w:p w14:paraId="54E5121A" w14:textId="7F94B620" w:rsidR="002C7552" w:rsidRPr="00E95F07" w:rsidRDefault="002C7552" w:rsidP="002C7552">
            <w:pPr>
              <w:overflowPunct/>
              <w:autoSpaceDE/>
              <w:autoSpaceDN/>
              <w:adjustRightInd/>
              <w:spacing w:after="0"/>
              <w:textAlignment w:val="auto"/>
              <w:rPr>
                <w:rFonts w:ascii="Times" w:eastAsia="Batang" w:hAnsi="Times"/>
                <w:b/>
                <w:bCs/>
                <w:iCs/>
                <w:sz w:val="14"/>
                <w:szCs w:val="14"/>
                <w:highlight w:val="green"/>
                <w:lang w:eastAsia="zh-CN"/>
              </w:rPr>
            </w:pPr>
            <w:r w:rsidRPr="00E95F07">
              <w:rPr>
                <w:rFonts w:ascii="Times" w:eastAsia="Batang" w:hAnsi="Times"/>
                <w:b/>
                <w:bCs/>
                <w:iCs/>
                <w:sz w:val="14"/>
                <w:szCs w:val="14"/>
                <w:highlight w:val="green"/>
                <w:lang w:eastAsia="zh-CN"/>
              </w:rPr>
              <w:t>Agreement</w:t>
            </w:r>
          </w:p>
          <w:p w14:paraId="466D0CB2" w14:textId="77777777" w:rsidR="002C7552" w:rsidRDefault="002C7552" w:rsidP="002C7552">
            <w:pPr>
              <w:overflowPunct/>
              <w:autoSpaceDE/>
              <w:autoSpaceDN/>
              <w:adjustRightInd/>
              <w:spacing w:after="0"/>
              <w:textAlignment w:val="auto"/>
              <w:rPr>
                <w:rFonts w:ascii="Times" w:eastAsia="DengXian" w:hAnsi="Times"/>
                <w:sz w:val="14"/>
                <w:szCs w:val="14"/>
                <w:lang w:eastAsia="zh-CN"/>
              </w:rPr>
            </w:pPr>
            <w:r w:rsidRPr="00E95F07">
              <w:rPr>
                <w:rFonts w:ascii="Times" w:eastAsia="Batang" w:hAnsi="Times"/>
                <w:sz w:val="14"/>
                <w:szCs w:val="14"/>
                <w:lang w:eastAsia="zh-CN"/>
              </w:rPr>
              <w:t>for NB-IoT and LTE-MTC in CE Mode B</w:t>
            </w:r>
            <w:r w:rsidRPr="00E95F07">
              <w:rPr>
                <w:rFonts w:ascii="Times" w:eastAsia="DengXian" w:hAnsi="Times"/>
                <w:sz w:val="14"/>
                <w:szCs w:val="14"/>
                <w:lang w:eastAsia="zh-CN"/>
              </w:rPr>
              <w:t xml:space="preserve">, if multiple TBs is configured, for DCI-based </w:t>
            </w:r>
            <w:r w:rsidRPr="00E95F07">
              <w:rPr>
                <w:rFonts w:ascii="Times" w:eastAsia="Batang" w:hAnsi="Times"/>
                <w:iCs/>
                <w:sz w:val="14"/>
                <w:szCs w:val="14"/>
                <w:lang w:eastAsia="zh-CN"/>
              </w:rPr>
              <w:t>HARQ enabling/disabling direct indication</w:t>
            </w:r>
            <w:r w:rsidRPr="00E95F07">
              <w:rPr>
                <w:rFonts w:ascii="Times" w:eastAsia="DengXian" w:hAnsi="Times"/>
                <w:sz w:val="14"/>
                <w:szCs w:val="14"/>
                <w:lang w:eastAsia="zh-CN"/>
              </w:rPr>
              <w:t xml:space="preserve"> in multiple TBs scheduled by single DCI, </w:t>
            </w:r>
            <w:bookmarkStart w:id="10" w:name="_Hlk136535073"/>
            <w:r w:rsidRPr="00E95F07">
              <w:rPr>
                <w:rFonts w:ascii="Times" w:eastAsia="DengXian" w:hAnsi="Times"/>
                <w:sz w:val="14"/>
                <w:szCs w:val="14"/>
                <w:lang w:eastAsia="zh-CN"/>
              </w:rPr>
              <w:t xml:space="preserve">the </w:t>
            </w:r>
            <w:r w:rsidRPr="00E95F07">
              <w:rPr>
                <w:rFonts w:ascii="Times" w:eastAsia="Batang" w:hAnsi="Times"/>
                <w:iCs/>
                <w:sz w:val="14"/>
                <w:szCs w:val="14"/>
                <w:lang w:eastAsia="zh-CN"/>
              </w:rPr>
              <w:t xml:space="preserve">same indication is applied to </w:t>
            </w:r>
            <w:r w:rsidRPr="00E95F07">
              <w:rPr>
                <w:rFonts w:ascii="Times" w:eastAsia="DengXian" w:hAnsi="Times"/>
                <w:sz w:val="14"/>
                <w:szCs w:val="14"/>
                <w:lang w:eastAsia="zh-CN"/>
              </w:rPr>
              <w:t>all scheduled TBs, i.e. HARQ is enabled or disabled for all TBs</w:t>
            </w:r>
            <w:bookmarkEnd w:id="10"/>
            <w:r w:rsidRPr="00E95F07">
              <w:rPr>
                <w:rFonts w:ascii="Times" w:eastAsia="DengXian" w:hAnsi="Times"/>
                <w:sz w:val="14"/>
                <w:szCs w:val="14"/>
                <w:lang w:eastAsia="zh-CN"/>
              </w:rPr>
              <w:t>.</w:t>
            </w:r>
          </w:p>
          <w:p w14:paraId="6FF5ED06" w14:textId="66E05014" w:rsidR="002C7552" w:rsidRPr="002C7552" w:rsidRDefault="002C7552" w:rsidP="002C7552">
            <w:pPr>
              <w:overflowPunct/>
              <w:autoSpaceDE/>
              <w:autoSpaceDN/>
              <w:adjustRightInd/>
              <w:spacing w:after="0"/>
              <w:textAlignment w:val="auto"/>
              <w:rPr>
                <w:rFonts w:ascii="Times" w:eastAsia="DengXian" w:hAnsi="Times"/>
                <w:sz w:val="14"/>
                <w:szCs w:val="14"/>
                <w:lang w:eastAsia="zh-CN"/>
              </w:rPr>
            </w:pPr>
          </w:p>
        </w:tc>
      </w:tr>
    </w:tbl>
    <w:p w14:paraId="60FA0B3D" w14:textId="77777777" w:rsidR="00F37B02" w:rsidRDefault="00F37B02" w:rsidP="00F37B02"/>
    <w:p w14:paraId="19E6027F" w14:textId="49947FDD" w:rsidR="00F37B02" w:rsidRDefault="00F37B02" w:rsidP="00F37B02">
      <w:r>
        <w:t>Two important remarks are mentioned below:</w:t>
      </w:r>
    </w:p>
    <w:p w14:paraId="27FA887F" w14:textId="77777777" w:rsidR="00F37B02" w:rsidRPr="00F37B02" w:rsidRDefault="00F37B02" w:rsidP="00BD3507">
      <w:pPr>
        <w:pStyle w:val="ListParagraph"/>
        <w:numPr>
          <w:ilvl w:val="0"/>
          <w:numId w:val="42"/>
        </w:numPr>
        <w:rPr>
          <w:rFonts w:ascii="Times New Roman" w:eastAsia="SimSun" w:hAnsi="Times New Roman"/>
          <w:sz w:val="20"/>
          <w:szCs w:val="20"/>
          <w:lang w:val="en-GB" w:eastAsia="ja-JP"/>
        </w:rPr>
      </w:pPr>
      <w:r w:rsidRPr="00F37B02">
        <w:rPr>
          <w:rFonts w:ascii="Times New Roman" w:eastAsia="SimSun" w:hAnsi="Times New Roman"/>
          <w:sz w:val="20"/>
          <w:szCs w:val="20"/>
          <w:lang w:val="en-GB" w:eastAsia="ja-JP"/>
        </w:rPr>
        <w:t>NB-IoT can use “</w:t>
      </w:r>
      <w:r w:rsidRPr="00F37B02">
        <w:rPr>
          <w:rFonts w:ascii="Times New Roman" w:eastAsia="SimSun" w:hAnsi="Times New Roman"/>
          <w:i/>
          <w:iCs/>
          <w:sz w:val="20"/>
          <w:szCs w:val="20"/>
          <w:lang w:val="en-GB" w:eastAsia="ja-JP"/>
        </w:rPr>
        <w:t>harq-ACK-Bundling in npdsch-MultiTB-Config</w:t>
      </w:r>
      <w:r w:rsidRPr="00F37B02">
        <w:rPr>
          <w:rFonts w:ascii="Times New Roman" w:eastAsia="SimSun" w:hAnsi="Times New Roman"/>
          <w:sz w:val="20"/>
          <w:szCs w:val="20"/>
          <w:lang w:val="en-GB" w:eastAsia="ja-JP"/>
        </w:rPr>
        <w:t>”</w:t>
      </w:r>
    </w:p>
    <w:p w14:paraId="5153391E" w14:textId="77777777" w:rsidR="00F37B02" w:rsidRPr="00F37B02" w:rsidRDefault="00F37B02" w:rsidP="00BD3507">
      <w:pPr>
        <w:pStyle w:val="ListParagraph"/>
        <w:numPr>
          <w:ilvl w:val="0"/>
          <w:numId w:val="42"/>
        </w:numPr>
        <w:rPr>
          <w:rFonts w:ascii="Times New Roman" w:eastAsia="SimSun" w:hAnsi="Times New Roman"/>
          <w:sz w:val="20"/>
          <w:szCs w:val="20"/>
          <w:lang w:val="en-GB" w:eastAsia="ja-JP"/>
        </w:rPr>
      </w:pPr>
      <w:r w:rsidRPr="00F37B02">
        <w:rPr>
          <w:rFonts w:ascii="Times New Roman" w:eastAsia="SimSun" w:hAnsi="Times New Roman"/>
          <w:sz w:val="20"/>
          <w:szCs w:val="20"/>
          <w:lang w:val="en-GB" w:eastAsia="ja-JP"/>
        </w:rPr>
        <w:t>LTE-MTC in CE Mode B does not have available HARQ-ACK bundling.</w:t>
      </w:r>
    </w:p>
    <w:p w14:paraId="714068C4" w14:textId="77777777" w:rsidR="00F37B02" w:rsidRDefault="00F37B02" w:rsidP="00653821"/>
    <w:p w14:paraId="181818CA" w14:textId="20E5673A" w:rsidR="008A4CBD" w:rsidRDefault="008A4CBD" w:rsidP="008A4CBD">
      <w:pPr>
        <w:pStyle w:val="Observation"/>
        <w:ind w:left="1701" w:hanging="1701"/>
      </w:pPr>
      <w:bookmarkStart w:id="11" w:name="_Toc142381801"/>
      <w:r>
        <w:t>When Multi-TB and the “DCI-based direct indication” solution are used together, the mixed enabling/disabling scenario never happens (please note that there is no bitmap thus HARQ feedback is enabled as per legacy, and yet the “DCI-based direct indication”</w:t>
      </w:r>
      <w:r w:rsidR="00216C91">
        <w:t xml:space="preserve"> </w:t>
      </w:r>
      <w:r>
        <w:t xml:space="preserve">to enable/disable the HARQ feedback </w:t>
      </w:r>
      <w:r w:rsidR="00216C91">
        <w:t xml:space="preserve">applies </w:t>
      </w:r>
      <w:r>
        <w:t>to all scheduled TBs), thus if HARQ feedback is disabl</w:t>
      </w:r>
      <w:r w:rsidR="00216C91">
        <w:t>ed</w:t>
      </w:r>
      <w:r w:rsidR="003861ED">
        <w:t xml:space="preserve"> no ACK/NACK should be reported since no PUCCH nor NPUSCH Format 2 will be transmitted.</w:t>
      </w:r>
      <w:r w:rsidR="004A0BBC">
        <w:t xml:space="preserve"> Moreover, since HARQ feedback will be either Enabled or Disabled, there won’t be an impact on “</w:t>
      </w:r>
      <w:r w:rsidR="004A0BBC" w:rsidRPr="00806DFF">
        <w:rPr>
          <w:rFonts w:eastAsia="DengXian"/>
          <w:i/>
          <w:iCs/>
        </w:rPr>
        <w:t>harq-ACK-Bundlin</w:t>
      </w:r>
      <w:r w:rsidR="004A0BBC">
        <w:rPr>
          <w:rFonts w:eastAsia="DengXian"/>
          <w:i/>
          <w:iCs/>
        </w:rPr>
        <w:t>g</w:t>
      </w:r>
      <w:r w:rsidR="004A0BBC">
        <w:t>”.</w:t>
      </w:r>
      <w:bookmarkEnd w:id="11"/>
    </w:p>
    <w:p w14:paraId="58B3661B" w14:textId="08E33988" w:rsidR="008A4CBD" w:rsidRDefault="003861ED" w:rsidP="003861ED">
      <w:pPr>
        <w:pStyle w:val="Proposal"/>
      </w:pPr>
      <w:bookmarkStart w:id="12" w:name="_Toc142381817"/>
      <w:r>
        <w:t xml:space="preserve">For NB-IoT </w:t>
      </w:r>
      <w:r w:rsidR="00F37B02">
        <w:t xml:space="preserve">(w/wo </w:t>
      </w:r>
      <w:r w:rsidR="00F37B02" w:rsidRPr="00806DFF">
        <w:rPr>
          <w:rFonts w:eastAsia="DengXian"/>
          <w:i/>
          <w:iCs/>
        </w:rPr>
        <w:t>harq-ACK-Bundlin</w:t>
      </w:r>
      <w:r w:rsidR="00F37B02">
        <w:rPr>
          <w:rFonts w:eastAsia="DengXian"/>
          <w:i/>
          <w:iCs/>
        </w:rPr>
        <w:t>g</w:t>
      </w:r>
      <w:r w:rsidR="00F37B02">
        <w:t xml:space="preserve">) </w:t>
      </w:r>
      <w:r>
        <w:t>and LTE-MTC in CE ModeB</w:t>
      </w:r>
      <w:r w:rsidR="00F37B02">
        <w:t xml:space="preserve"> </w:t>
      </w:r>
      <w:r>
        <w:t>using Multi-TB and “DCI-based direct indication,” where “</w:t>
      </w:r>
      <w:r w:rsidRPr="003861ED">
        <w:rPr>
          <w:i/>
          <w:iCs/>
          <w:color w:val="767171" w:themeColor="background2" w:themeShade="80"/>
        </w:rPr>
        <w:t>the same indication is applied to all scheduled TBs, i.e. HARQ is enabled or disabled for all TBs</w:t>
      </w:r>
      <w:r>
        <w:t xml:space="preserve">” </w:t>
      </w:r>
      <w:r w:rsidR="00075D1D">
        <w:t xml:space="preserve">(i.e., there is no mixed enabling/disabling scenario), </w:t>
      </w:r>
      <w:r>
        <w:t>ACK/NACK is not reported if HARQ feedback is indicated as disabled.</w:t>
      </w:r>
      <w:bookmarkEnd w:id="12"/>
    </w:p>
    <w:p w14:paraId="562ECE0D" w14:textId="26CD0D56" w:rsidR="00653821" w:rsidRDefault="002C7552" w:rsidP="00BD3507">
      <w:pPr>
        <w:pStyle w:val="Heading2"/>
        <w:numPr>
          <w:ilvl w:val="1"/>
          <w:numId w:val="41"/>
        </w:numPr>
      </w:pPr>
      <w:r>
        <w:t>Multi-TB and the “</w:t>
      </w:r>
      <w:r>
        <w:rPr>
          <w:rFonts w:ascii="Times New Roman" w:hAnsi="Times New Roman"/>
          <w:i/>
          <w:iCs/>
        </w:rPr>
        <w:t>DCI-based overriding indication</w:t>
      </w:r>
      <w:r>
        <w:t>” solution</w:t>
      </w:r>
    </w:p>
    <w:p w14:paraId="354F91E3" w14:textId="77777777" w:rsidR="00805E6E" w:rsidRDefault="00437DD8" w:rsidP="00805E6E">
      <w:pPr>
        <w:pStyle w:val="Observation"/>
        <w:ind w:left="1701" w:hanging="1701"/>
      </w:pPr>
      <w:bookmarkStart w:id="13" w:name="_Toc142381802"/>
      <w:r>
        <w:t xml:space="preserve">When Multi-TB and the “DCI-based overriding indication” solution are used together, </w:t>
      </w:r>
      <w:bookmarkStart w:id="14" w:name="_Hlk136601418"/>
      <w:r>
        <w:t>the mixed enabling/disabling scenario can happen depending on the bitmap’s configuration</w:t>
      </w:r>
      <w:bookmarkEnd w:id="14"/>
      <w:r>
        <w:t>.</w:t>
      </w:r>
      <w:bookmarkEnd w:id="13"/>
    </w:p>
    <w:p w14:paraId="0A286FF0" w14:textId="77777777" w:rsidR="00805E6E" w:rsidRDefault="00805E6E" w:rsidP="00BD3507">
      <w:pPr>
        <w:pStyle w:val="Observation"/>
        <w:numPr>
          <w:ilvl w:val="0"/>
          <w:numId w:val="40"/>
        </w:numPr>
      </w:pPr>
      <w:bookmarkStart w:id="15" w:name="_Toc142381803"/>
      <w:r>
        <w:t>If overriding indication as per the DCI-design under Working Assumption were applied to all scheduled TBs, then the mixture of enabled/disabled HARQ feedback would be revoked since the “DCI-based overriding indication” would turn the HARQ feedback for all scheduled TBs into either enabled or disabled.</w:t>
      </w:r>
      <w:bookmarkEnd w:id="15"/>
    </w:p>
    <w:p w14:paraId="76A79772" w14:textId="7AD8242A" w:rsidR="00805E6E" w:rsidRDefault="007B6CA8" w:rsidP="00805E6E">
      <w:pPr>
        <w:pStyle w:val="Observation"/>
        <w:numPr>
          <w:ilvl w:val="0"/>
          <w:numId w:val="0"/>
        </w:numPr>
        <w:ind w:left="1701"/>
      </w:pPr>
      <w:bookmarkStart w:id="16" w:name="_Toc142381805"/>
      <w:r>
        <w:t>A</w:t>
      </w:r>
      <w:r w:rsidR="00805E6E">
        <w:t>iming at finalizing the remaining details of this WI, the solution where the “DCI-based overriding indication” applies to all scheduled TBs is preferred.</w:t>
      </w:r>
      <w:r w:rsidR="004A0BBC">
        <w:t xml:space="preserve"> </w:t>
      </w:r>
      <w:r>
        <w:t>In this case</w:t>
      </w:r>
      <w:r w:rsidR="004A0BBC">
        <w:t>, since HARQ feedback will be either Enabled or Disabled, there won’t be an impact on “</w:t>
      </w:r>
      <w:r w:rsidR="004A0BBC" w:rsidRPr="00806DFF">
        <w:rPr>
          <w:rFonts w:eastAsia="DengXian"/>
          <w:i/>
          <w:iCs/>
        </w:rPr>
        <w:t>harq-ACK-Bundlin</w:t>
      </w:r>
      <w:r w:rsidR="004A0BBC">
        <w:rPr>
          <w:rFonts w:eastAsia="DengXian"/>
          <w:i/>
          <w:iCs/>
        </w:rPr>
        <w:t>g</w:t>
      </w:r>
      <w:r w:rsidR="004A0BBC">
        <w:t>”.</w:t>
      </w:r>
      <w:bookmarkEnd w:id="16"/>
    </w:p>
    <w:p w14:paraId="1F774B5A" w14:textId="77777777" w:rsidR="00805E6E" w:rsidRDefault="00805E6E" w:rsidP="00653821"/>
    <w:p w14:paraId="07A36309" w14:textId="24D6CFDC" w:rsidR="00FD631A" w:rsidRDefault="00FD631A" w:rsidP="00FD631A">
      <w:pPr>
        <w:pStyle w:val="Proposal"/>
      </w:pPr>
      <w:bookmarkStart w:id="17" w:name="_Toc142381818"/>
      <w:r>
        <w:t xml:space="preserve">For NB-IoT </w:t>
      </w:r>
      <w:r w:rsidR="00F37B02">
        <w:t xml:space="preserve">(w/wo </w:t>
      </w:r>
      <w:r w:rsidR="00F37B02" w:rsidRPr="00806DFF">
        <w:rPr>
          <w:rFonts w:eastAsia="DengXian"/>
          <w:i/>
          <w:iCs/>
        </w:rPr>
        <w:t>harq-ACK-Bundlin</w:t>
      </w:r>
      <w:r w:rsidR="00F37B02">
        <w:rPr>
          <w:rFonts w:eastAsia="DengXian"/>
          <w:i/>
          <w:iCs/>
        </w:rPr>
        <w:t>g</w:t>
      </w:r>
      <w:r w:rsidR="00F37B02">
        <w:t xml:space="preserve">) </w:t>
      </w:r>
      <w:r>
        <w:t xml:space="preserve">and LTE-MTC in CE ModeB using Multi-TB and “DCI-based overriding indication,” </w:t>
      </w:r>
      <w:r w:rsidRPr="00FD631A">
        <w:t>the same indication is applied to all scheduled TBs, i.e.</w:t>
      </w:r>
      <w:r>
        <w:t>,</w:t>
      </w:r>
      <w:r w:rsidRPr="00FD631A">
        <w:t xml:space="preserve"> for all TBs</w:t>
      </w:r>
      <w:r>
        <w:t>,</w:t>
      </w:r>
      <w:r w:rsidRPr="00FD631A">
        <w:t xml:space="preserve"> HARQ is enabled </w:t>
      </w:r>
      <w:r>
        <w:t xml:space="preserve">if any state other than the one associated to HARQ feedback disabled is selected, </w:t>
      </w:r>
      <w:r w:rsidRPr="00FD631A">
        <w:t>or disabled</w:t>
      </w:r>
      <w:r>
        <w:t xml:space="preserve"> otherwise,” ACK/NACK is not reported if HARQ feedback is indicated as disabled.</w:t>
      </w:r>
      <w:bookmarkEnd w:id="17"/>
    </w:p>
    <w:p w14:paraId="0486DDE6" w14:textId="77777777" w:rsidR="00805E6E" w:rsidRDefault="00805E6E" w:rsidP="00653821"/>
    <w:p w14:paraId="44934536" w14:textId="6D5D1012" w:rsidR="002C7552" w:rsidRDefault="002C7552" w:rsidP="002C7552">
      <w:pPr>
        <w:pStyle w:val="Heading2"/>
      </w:pPr>
      <w:r>
        <w:t>3.3</w:t>
      </w:r>
      <w:r>
        <w:tab/>
        <w:t>Multi-TB and the “</w:t>
      </w:r>
      <w:r>
        <w:rPr>
          <w:rFonts w:ascii="Times New Roman" w:hAnsi="Times New Roman"/>
          <w:i/>
          <w:iCs/>
        </w:rPr>
        <w:t>RCC-based bitmap</w:t>
      </w:r>
      <w:r>
        <w:t>” solution</w:t>
      </w:r>
    </w:p>
    <w:p w14:paraId="60D2FC3C" w14:textId="063DC0C0" w:rsidR="002C7552" w:rsidRDefault="00747CF0" w:rsidP="00A5673D">
      <w:pPr>
        <w:jc w:val="both"/>
      </w:pPr>
      <w:r>
        <w:t xml:space="preserve">When </w:t>
      </w:r>
      <w:r w:rsidRPr="00747CF0">
        <w:t xml:space="preserve">only </w:t>
      </w:r>
      <w:r>
        <w:t>the</w:t>
      </w:r>
      <w:r w:rsidRPr="00747CF0">
        <w:t xml:space="preserve"> </w:t>
      </w:r>
      <w:r w:rsidR="00526F6C" w:rsidRPr="00526F6C">
        <w:t>“</w:t>
      </w:r>
      <w:r w:rsidRPr="00747CF0">
        <w:t>RRC-based-HARQfeedback-switching” is configured, the bitmap semi-statically assigns the HARQ fee</w:t>
      </w:r>
      <w:r w:rsidR="00213FE5">
        <w:t>d</w:t>
      </w:r>
      <w:r w:rsidRPr="00747CF0">
        <w:t xml:space="preserve">back status to the HARQ processes (e.g., all disabled, all </w:t>
      </w:r>
      <w:r>
        <w:t>en</w:t>
      </w:r>
      <w:r w:rsidRPr="00747CF0">
        <w:t>abled, enabled and disabled). The HARQ feedback can be switched</w:t>
      </w:r>
      <w:r w:rsidR="00A5673D">
        <w:t xml:space="preserve"> (</w:t>
      </w:r>
      <w:r w:rsidRPr="00747CF0">
        <w:t>i.e., the status of the HARQ feedback can</w:t>
      </w:r>
      <w:r w:rsidR="00A5673D">
        <w:t xml:space="preserve"> </w:t>
      </w:r>
      <w:r w:rsidRPr="00747CF0">
        <w:t>be changed</w:t>
      </w:r>
      <w:r w:rsidR="00A5673D">
        <w:t>)</w:t>
      </w:r>
      <w:r w:rsidRPr="00747CF0">
        <w:t xml:space="preserve"> </w:t>
      </w:r>
      <w:r w:rsidR="00A5673D">
        <w:t xml:space="preserve">only </w:t>
      </w:r>
      <w:r w:rsidRPr="00747CF0">
        <w:t xml:space="preserve">through a re-configuration message </w:t>
      </w:r>
      <w:r w:rsidR="00526F6C">
        <w:t>followed by a HL-ACK</w:t>
      </w:r>
      <w:r w:rsidRPr="00747CF0">
        <w:t>.​</w:t>
      </w:r>
    </w:p>
    <w:p w14:paraId="45FF2BBD" w14:textId="341BA9C2" w:rsidR="00526F6C" w:rsidRDefault="00526F6C" w:rsidP="002C7552">
      <w:r>
        <w:lastRenderedPageBreak/>
        <w:t xml:space="preserve">In </w:t>
      </w:r>
      <w:r w:rsidR="00574ACD">
        <w:t xml:space="preserve">this </w:t>
      </w:r>
      <w:r>
        <w:t xml:space="preserve">case, </w:t>
      </w:r>
      <w:r w:rsidRPr="00526F6C">
        <w:t>the mixed enabling/disabling scenario can happen depending on the bitmap’s configuration</w:t>
      </w:r>
      <w:r>
        <w:t xml:space="preserve"> but there is no DCI to align the HARQ feedback status of the HARQ processes scheduled using a single DCI, thus in this case is suitable to consider the following options listed by the Feature Lead</w:t>
      </w:r>
      <w:r w:rsidR="001F268E">
        <w:t xml:space="preserve"> [4]</w:t>
      </w:r>
      <w:r>
        <w:t>:</w:t>
      </w:r>
    </w:p>
    <w:p w14:paraId="148DAA67" w14:textId="77777777" w:rsidR="00526F6C" w:rsidRPr="00C840A3" w:rsidRDefault="00526F6C" w:rsidP="00526F6C">
      <w:pPr>
        <w:pStyle w:val="ListParagraph"/>
        <w:numPr>
          <w:ilvl w:val="1"/>
          <w:numId w:val="35"/>
        </w:numPr>
        <w:overflowPunct/>
        <w:autoSpaceDE/>
        <w:autoSpaceDN/>
        <w:adjustRightInd/>
        <w:snapToGrid w:val="0"/>
        <w:spacing w:after="120"/>
        <w:textAlignment w:val="auto"/>
        <w:rPr>
          <w:rFonts w:ascii="Times New Roman" w:eastAsiaTheme="minorEastAsia" w:hAnsi="Times New Roman"/>
          <w:sz w:val="14"/>
          <w:szCs w:val="14"/>
          <w:lang w:eastAsia="zh-CN"/>
        </w:rPr>
      </w:pPr>
      <w:r w:rsidRPr="00C840A3">
        <w:rPr>
          <w:rFonts w:ascii="Times New Roman" w:hAnsi="Times New Roman"/>
          <w:sz w:val="14"/>
          <w:szCs w:val="14"/>
          <w:lang w:eastAsia="zh-CN"/>
        </w:rPr>
        <w:t xml:space="preserve">Option 1: </w:t>
      </w:r>
      <w:r w:rsidRPr="00C840A3">
        <w:rPr>
          <w:rFonts w:ascii="Times New Roman" w:eastAsiaTheme="minorEastAsia" w:hAnsi="Times New Roman"/>
          <w:sz w:val="14"/>
          <w:szCs w:val="14"/>
          <w:lang w:eastAsia="zh-CN"/>
        </w:rPr>
        <w:t xml:space="preserve">ACK is assumed/reported for the </w:t>
      </w:r>
      <w:r w:rsidRPr="00C840A3">
        <w:rPr>
          <w:rFonts w:ascii="Times New Roman" w:hAnsi="Times New Roman"/>
          <w:sz w:val="14"/>
          <w:szCs w:val="14"/>
          <w:lang w:eastAsia="zh-CN"/>
        </w:rPr>
        <w:t>downlink transmission</w:t>
      </w:r>
      <w:r w:rsidRPr="00C840A3">
        <w:rPr>
          <w:rFonts w:ascii="Times New Roman" w:eastAsiaTheme="minorEastAsia" w:hAnsi="Times New Roman"/>
          <w:sz w:val="14"/>
          <w:szCs w:val="14"/>
          <w:lang w:eastAsia="zh-CN"/>
        </w:rPr>
        <w:t xml:space="preserve"> with HARQ process disabled regardless of decoding results of corresponding </w:t>
      </w:r>
      <w:r w:rsidRPr="00C840A3">
        <w:rPr>
          <w:rFonts w:ascii="Times New Roman" w:hAnsi="Times New Roman"/>
          <w:sz w:val="14"/>
          <w:szCs w:val="14"/>
          <w:lang w:eastAsia="zh-CN"/>
        </w:rPr>
        <w:t>transmission</w:t>
      </w:r>
    </w:p>
    <w:p w14:paraId="19CEE618" w14:textId="77777777" w:rsidR="00526F6C" w:rsidRPr="00C840A3" w:rsidRDefault="00526F6C" w:rsidP="00526F6C">
      <w:pPr>
        <w:pStyle w:val="ListParagraph"/>
        <w:numPr>
          <w:ilvl w:val="1"/>
          <w:numId w:val="35"/>
        </w:numPr>
        <w:overflowPunct/>
        <w:autoSpaceDE/>
        <w:autoSpaceDN/>
        <w:adjustRightInd/>
        <w:snapToGrid w:val="0"/>
        <w:spacing w:after="120"/>
        <w:textAlignment w:val="auto"/>
        <w:rPr>
          <w:rFonts w:ascii="Times New Roman" w:hAnsi="Times New Roman"/>
          <w:sz w:val="14"/>
          <w:szCs w:val="14"/>
          <w:lang w:eastAsia="zh-CN"/>
        </w:rPr>
      </w:pPr>
      <w:r w:rsidRPr="00C840A3">
        <w:rPr>
          <w:rFonts w:ascii="Times New Roman" w:eastAsiaTheme="minorEastAsia" w:hAnsi="Times New Roman"/>
          <w:sz w:val="14"/>
          <w:szCs w:val="14"/>
          <w:lang w:eastAsia="zh-CN"/>
        </w:rPr>
        <w:t xml:space="preserve">Option 2: </w:t>
      </w:r>
      <w:r w:rsidRPr="00C840A3">
        <w:rPr>
          <w:rFonts w:ascii="Times New Roman" w:hAnsi="Times New Roman"/>
          <w:sz w:val="14"/>
          <w:szCs w:val="14"/>
          <w:lang w:eastAsia="zh-CN"/>
        </w:rPr>
        <w:t>HARQ feedback is reported only for downlink transmission with HARQ process enabled (e.g., HARQ feedback is not reported for downlink transmission with HARQ process disabled)</w:t>
      </w:r>
    </w:p>
    <w:p w14:paraId="315DF4CC" w14:textId="77777777" w:rsidR="00526F6C" w:rsidRPr="00C840A3" w:rsidRDefault="00526F6C" w:rsidP="00526F6C">
      <w:pPr>
        <w:pStyle w:val="ListParagraph"/>
        <w:numPr>
          <w:ilvl w:val="1"/>
          <w:numId w:val="35"/>
        </w:numPr>
        <w:overflowPunct/>
        <w:autoSpaceDE/>
        <w:autoSpaceDN/>
        <w:adjustRightInd/>
        <w:snapToGrid w:val="0"/>
        <w:spacing w:after="120"/>
        <w:textAlignment w:val="auto"/>
        <w:rPr>
          <w:rFonts w:ascii="Times New Roman" w:hAnsi="Times New Roman"/>
          <w:sz w:val="14"/>
          <w:szCs w:val="14"/>
          <w:lang w:eastAsia="zh-CN"/>
        </w:rPr>
      </w:pPr>
      <w:r w:rsidRPr="00C840A3">
        <w:rPr>
          <w:rFonts w:ascii="Times New Roman" w:hAnsi="Times New Roman"/>
          <w:sz w:val="14"/>
          <w:szCs w:val="14"/>
          <w:lang w:eastAsia="zh-CN"/>
        </w:rPr>
        <w:t xml:space="preserve">Option 3: HARQ feedback is reported or not depending on the other TBs HARQ-enabled/HARQ-disabling scheduled by DCI </w:t>
      </w:r>
    </w:p>
    <w:p w14:paraId="6392548C" w14:textId="4B226425" w:rsidR="00A5673D" w:rsidRDefault="00A5673D" w:rsidP="002C7552">
      <w:r>
        <w:t xml:space="preserve">In our view, if HARQ ACK bundling is not used then ACK/NACK should not be reported for </w:t>
      </w:r>
      <w:r w:rsidR="004A0BBC">
        <w:t xml:space="preserve">the </w:t>
      </w:r>
      <w:r>
        <w:t>HARQ processes configured with HARQ feedback disabled.</w:t>
      </w:r>
    </w:p>
    <w:p w14:paraId="20BFF56D" w14:textId="7F1BAD70" w:rsidR="00BD32DE" w:rsidRDefault="00BD32DE" w:rsidP="006C5D96">
      <w:pPr>
        <w:pStyle w:val="Proposal"/>
      </w:pPr>
      <w:bookmarkStart w:id="18" w:name="_Toc142381819"/>
      <w:r>
        <w:t xml:space="preserve">For NB-IoT (wo </w:t>
      </w:r>
      <w:r w:rsidRPr="00806DFF">
        <w:rPr>
          <w:rFonts w:eastAsia="DengXian"/>
          <w:i/>
          <w:iCs/>
        </w:rPr>
        <w:t>harq-ACK-Bundlin</w:t>
      </w:r>
      <w:r>
        <w:rPr>
          <w:rFonts w:eastAsia="DengXian"/>
          <w:i/>
          <w:iCs/>
        </w:rPr>
        <w:t>g</w:t>
      </w:r>
      <w:r>
        <w:t xml:space="preserve">), LTE-MTC in CE ModeA (wo </w:t>
      </w:r>
      <w:r w:rsidRPr="00806DFF">
        <w:rPr>
          <w:rFonts w:eastAsia="DengXian"/>
          <w:i/>
          <w:iCs/>
        </w:rPr>
        <w:t>harq-ACK-Bundlin</w:t>
      </w:r>
      <w:r>
        <w:rPr>
          <w:rFonts w:eastAsia="DengXian"/>
          <w:i/>
          <w:iCs/>
        </w:rPr>
        <w:t>g</w:t>
      </w:r>
      <w:r>
        <w:t>), and LTE-MTC in CE ModeB, when Multi-TB is used along with the “</w:t>
      </w:r>
      <w:r w:rsidRPr="00747CF0">
        <w:t>RRC-based-HARQfeedback-switching</w:t>
      </w:r>
      <w:r>
        <w:t>,”</w:t>
      </w:r>
      <w:r w:rsidR="006C5D96">
        <w:t xml:space="preserve"> </w:t>
      </w:r>
      <w:r>
        <w:t>ACK/NACK is not reported if HARQ feedback is indicated as disabled.</w:t>
      </w:r>
      <w:bookmarkEnd w:id="18"/>
    </w:p>
    <w:p w14:paraId="506EF18C" w14:textId="544348A3" w:rsidR="00A5673D" w:rsidRDefault="00935AA7" w:rsidP="00653821">
      <w:r>
        <w:t xml:space="preserve">On the other hand, if HARQ ACK bundling is used then a down-selection could be performed between </w:t>
      </w:r>
      <w:r w:rsidR="002D71CB">
        <w:t>option 1 and option 2 as listed by the Feature Lead</w:t>
      </w:r>
      <w:r>
        <w:t>:</w:t>
      </w:r>
    </w:p>
    <w:p w14:paraId="7AB5A8C5" w14:textId="5C8284D0" w:rsidR="00935AA7" w:rsidRDefault="00935AA7" w:rsidP="00935AA7">
      <w:pPr>
        <w:pStyle w:val="Proposal"/>
      </w:pPr>
      <w:bookmarkStart w:id="19" w:name="_Toc142381820"/>
      <w:r>
        <w:t xml:space="preserve">For NB-IoT (w </w:t>
      </w:r>
      <w:r w:rsidRPr="00806DFF">
        <w:rPr>
          <w:rFonts w:eastAsia="DengXian"/>
          <w:i/>
          <w:iCs/>
        </w:rPr>
        <w:t>harq-ACK-Bundlin</w:t>
      </w:r>
      <w:r>
        <w:rPr>
          <w:rFonts w:eastAsia="DengXian"/>
          <w:i/>
          <w:iCs/>
        </w:rPr>
        <w:t>g</w:t>
      </w:r>
      <w:r>
        <w:t>),</w:t>
      </w:r>
      <w:r w:rsidR="002D71CB">
        <w:t xml:space="preserve"> and</w:t>
      </w:r>
      <w:r>
        <w:t xml:space="preserve"> LTE-MTC in CE ModeA (w </w:t>
      </w:r>
      <w:r w:rsidRPr="00806DFF">
        <w:rPr>
          <w:rFonts w:eastAsia="DengXian"/>
          <w:i/>
          <w:iCs/>
        </w:rPr>
        <w:t>harq-ACK-Bundlin</w:t>
      </w:r>
      <w:r>
        <w:rPr>
          <w:rFonts w:eastAsia="DengXian"/>
          <w:i/>
          <w:iCs/>
        </w:rPr>
        <w:t>g</w:t>
      </w:r>
      <w:r>
        <w:t>), when Multi-TB is used along with the “</w:t>
      </w:r>
      <w:r w:rsidRPr="00747CF0">
        <w:t>RRC-based-HARQfeedback-switching</w:t>
      </w:r>
      <w:r>
        <w:t xml:space="preserve">,” </w:t>
      </w:r>
      <w:r w:rsidR="002D71CB">
        <w:t>down-select between:</w:t>
      </w:r>
      <w:bookmarkEnd w:id="19"/>
    </w:p>
    <w:p w14:paraId="20008F1F" w14:textId="7606B0AE" w:rsidR="002D71CB" w:rsidRDefault="002D71CB" w:rsidP="002D71CB">
      <w:pPr>
        <w:pStyle w:val="Proposal"/>
        <w:numPr>
          <w:ilvl w:val="0"/>
          <w:numId w:val="43"/>
        </w:numPr>
      </w:pPr>
      <w:bookmarkStart w:id="20" w:name="_Toc142381821"/>
      <w:r>
        <w:t>Option 1: ACK is assumed/reported for the downlink transmission with HARQ process disabled regardless of decoding results of corresponding transmission</w:t>
      </w:r>
      <w:r w:rsidR="004767AE">
        <w:t>.</w:t>
      </w:r>
      <w:bookmarkEnd w:id="20"/>
    </w:p>
    <w:p w14:paraId="162E1115" w14:textId="6348AC4B" w:rsidR="002D71CB" w:rsidRDefault="002D71CB" w:rsidP="002D71CB">
      <w:pPr>
        <w:pStyle w:val="Proposal"/>
        <w:numPr>
          <w:ilvl w:val="0"/>
          <w:numId w:val="43"/>
        </w:numPr>
      </w:pPr>
      <w:bookmarkStart w:id="21" w:name="_Toc142381822"/>
      <w:r>
        <w:t>Option 2: HARQ feedback is reported only for downlink transmission with HARQ process enabled (e.g., HARQ feedback is not reported for downlink transmission with HARQ process disabled)</w:t>
      </w:r>
      <w:r w:rsidR="004767AE">
        <w:t>.</w:t>
      </w:r>
      <w:bookmarkEnd w:id="21"/>
    </w:p>
    <w:p w14:paraId="6040AF01" w14:textId="486D6B0E" w:rsidR="00585957" w:rsidRDefault="00585957" w:rsidP="00585957">
      <w:pPr>
        <w:pStyle w:val="Heading1"/>
      </w:pPr>
      <w:r>
        <w:t>4</w:t>
      </w:r>
      <w:r>
        <w:tab/>
        <w:t>Follow-up: “</w:t>
      </w:r>
      <w:r w:rsidRPr="0026425E">
        <w:rPr>
          <w:rFonts w:ascii="Times New Roman" w:hAnsi="Times New Roman"/>
          <w:i/>
          <w:iCs/>
        </w:rPr>
        <w:t>(N)PDSCH/(N)PDCCH scheduling restriction</w:t>
      </w:r>
      <w:r>
        <w:t>”</w:t>
      </w:r>
    </w:p>
    <w:p w14:paraId="31ED429C" w14:textId="5741EAAE" w:rsidR="00D87FE3" w:rsidRDefault="00D87FE3" w:rsidP="00F36862">
      <w:pPr>
        <w:jc w:val="both"/>
      </w:pPr>
      <w:r>
        <w:t xml:space="preserve">Beyond handling a scenario where all HARQ processes have been disabled, there is also a need for handling more complex scenarios where some of the HARQ processes have </w:t>
      </w:r>
      <w:r w:rsidR="001412D9">
        <w:t xml:space="preserve">their </w:t>
      </w:r>
      <w:r>
        <w:t>HARQ feedback enabled whereas some other ones have their HARQ feedback disabled.</w:t>
      </w:r>
      <w:r w:rsidR="002A6C3B">
        <w:t xml:space="preserve"> On this matter, the “endorsed </w:t>
      </w:r>
      <w:r w:rsidR="00CD5CB4">
        <w:t>scheduling restrictions</w:t>
      </w:r>
      <w:r w:rsidR="002A6C3B">
        <w:t xml:space="preserve">” cannot handle those </w:t>
      </w:r>
      <w:r w:rsidR="002A0210">
        <w:t>hybri</w:t>
      </w:r>
      <w:r w:rsidR="002A6C3B">
        <w:t xml:space="preserve">d enabling/disabling scenarios on its own, hence </w:t>
      </w:r>
      <w:r w:rsidR="008F1CA6">
        <w:t>the “endorsed wording”</w:t>
      </w:r>
      <w:r w:rsidR="002A6C3B">
        <w:t xml:space="preserve"> should be applied and combined with legacy statements.</w:t>
      </w:r>
    </w:p>
    <w:p w14:paraId="0B831761" w14:textId="1ABD4DBB" w:rsidR="002A6C3B" w:rsidRDefault="002A6C3B" w:rsidP="002A6C3B">
      <w:pPr>
        <w:pStyle w:val="Observation"/>
        <w:ind w:left="1701" w:hanging="1701"/>
      </w:pPr>
      <w:bookmarkStart w:id="22" w:name="_Toc142381806"/>
      <w:r>
        <w:t xml:space="preserve">The </w:t>
      </w:r>
      <w:r w:rsidR="00597160">
        <w:t>“</w:t>
      </w:r>
      <w:r>
        <w:t>scheduling restriction for NB-IoT</w:t>
      </w:r>
      <w:r w:rsidR="00597160">
        <w:t>”</w:t>
      </w:r>
      <w:r>
        <w:t xml:space="preserve"> endorsed in RAN1# 110-bis-e can handle a scenario where all HARQ processes have their HARQ feedback disabled. However, </w:t>
      </w:r>
      <w:r w:rsidR="00F43914">
        <w:t xml:space="preserve">it cannot </w:t>
      </w:r>
      <w:r>
        <w:t xml:space="preserve">handle </w:t>
      </w:r>
      <w:r w:rsidR="00F43914">
        <w:t xml:space="preserve">on its own </w:t>
      </w:r>
      <w:r w:rsidR="00597160">
        <w:t xml:space="preserve">more complex scenarios </w:t>
      </w:r>
      <w:r w:rsidR="00077F7E">
        <w:t>(i.e.,</w:t>
      </w:r>
      <w:r w:rsidR="00597160">
        <w:t xml:space="preserve"> </w:t>
      </w:r>
      <w:r>
        <w:t>“</w:t>
      </w:r>
      <w:r w:rsidR="002A0210">
        <w:t>hybrid</w:t>
      </w:r>
      <w:r>
        <w:t xml:space="preserve"> enabling/disabling scenario”</w:t>
      </w:r>
      <w:r w:rsidR="00077F7E">
        <w:t>)</w:t>
      </w:r>
      <w:r w:rsidR="00597160">
        <w:t>.</w:t>
      </w:r>
      <w:bookmarkEnd w:id="22"/>
    </w:p>
    <w:p w14:paraId="2757EC2C" w14:textId="688E6AAD" w:rsidR="00CD5CB4" w:rsidRDefault="00CD5CB4" w:rsidP="00CD5CB4">
      <w:pPr>
        <w:jc w:val="both"/>
      </w:pPr>
      <w:r w:rsidRPr="00CD5CB4">
        <w:t>So</w:t>
      </w:r>
      <w:r>
        <w:t xml:space="preserve">, </w:t>
      </w:r>
      <w:r w:rsidRPr="00CD5CB4">
        <w:t xml:space="preserve">is the “scheduling restriction” incomplete? or will it rely on legacy procedures? The </w:t>
      </w:r>
      <w:r>
        <w:t xml:space="preserve">proposal of having a </w:t>
      </w:r>
      <w:r w:rsidRPr="00CD5CB4">
        <w:t xml:space="preserve">conclusion is aimed to reflect that RAN1’s understanding is that the latter approach </w:t>
      </w:r>
      <w:r>
        <w:t xml:space="preserve">of relying on legacy procedures </w:t>
      </w:r>
      <w:r w:rsidRPr="00CD5CB4">
        <w:t>is to be followed.</w:t>
      </w:r>
    </w:p>
    <w:p w14:paraId="40F952E2" w14:textId="7B61B503" w:rsidR="00B227EF" w:rsidRDefault="00E85244" w:rsidP="00166E55">
      <w:pPr>
        <w:pStyle w:val="Proposal"/>
      </w:pPr>
      <w:bookmarkStart w:id="23" w:name="_Toc142381823"/>
      <w:r>
        <w:t xml:space="preserve">Conclusion: It is RAN1 understanding that </w:t>
      </w:r>
      <w:r w:rsidR="00166E55">
        <w:t xml:space="preserve">in scenarios having HARQ processes with HARQ feedback enabled and disabled, </w:t>
      </w:r>
      <w:r>
        <w:t>the “scheduling restriction</w:t>
      </w:r>
      <w:r w:rsidR="00CD5CB4">
        <w:t>s</w:t>
      </w:r>
      <w:r>
        <w:t xml:space="preserve"> for NB-IoT</w:t>
      </w:r>
      <w:r w:rsidR="00CD5CB4">
        <w:t xml:space="preserve"> and LTE-MTC</w:t>
      </w:r>
      <w:r>
        <w:t xml:space="preserve">” </w:t>
      </w:r>
      <w:r w:rsidR="00CD5CB4">
        <w:t>are</w:t>
      </w:r>
      <w:r>
        <w:t xml:space="preserve"> also applicable </w:t>
      </w:r>
      <w:r w:rsidR="00166E55">
        <w:t>when combined with legacy procedures to avoid issues related with e.g., a simultaneous Transmission/Reception, or not having time to perform an UL-to-DL re-tunning.</w:t>
      </w:r>
      <w:bookmarkEnd w:id="23"/>
    </w:p>
    <w:p w14:paraId="150AD934" w14:textId="5450224C" w:rsidR="0051440C" w:rsidRDefault="00165DE7" w:rsidP="00165DE7">
      <w:pPr>
        <w:pStyle w:val="Heading1"/>
        <w:ind w:left="142" w:firstLine="0"/>
      </w:pPr>
      <w:r>
        <w:t>5</w:t>
      </w:r>
      <w:r>
        <w:tab/>
      </w:r>
      <w:r w:rsidR="0051440C">
        <w:t>Higher Layer Parameter list</w:t>
      </w:r>
    </w:p>
    <w:p w14:paraId="4F6320CE" w14:textId="0EDC5E0E" w:rsidR="0051440C" w:rsidRDefault="0051440C" w:rsidP="0051440C">
      <w:r>
        <w:t xml:space="preserve">During RAN1# 113, the consolidated Higher Layer Parameter list was agreed in </w:t>
      </w:r>
      <w:r w:rsidRPr="0051440C">
        <w:t>R1-2306271</w:t>
      </w:r>
      <w:r>
        <w:t xml:space="preserve">. In relation with it, there were entries that remained as FFS on which we provide our views </w:t>
      </w:r>
      <w:r w:rsidR="00F96EA0" w:rsidRPr="00F96EA0">
        <w:rPr>
          <w:highlight w:val="yellow"/>
        </w:rPr>
        <w:t>highlighted in yellow</w:t>
      </w:r>
      <w:r>
        <w:t>:</w:t>
      </w:r>
    </w:p>
    <w:p w14:paraId="07486B16" w14:textId="6520BB12" w:rsidR="00F96EA0" w:rsidRDefault="00F96EA0" w:rsidP="0042086B">
      <w:r>
        <w:t xml:space="preserve">LTE-MTC: </w:t>
      </w:r>
    </w:p>
    <w:p w14:paraId="0022DFC6" w14:textId="44CC0DC8" w:rsidR="0042086B" w:rsidRDefault="0042086B" w:rsidP="0042086B">
      <w:pPr>
        <w:pStyle w:val="Observation"/>
        <w:ind w:left="1701" w:hanging="1701"/>
      </w:pPr>
      <w:bookmarkStart w:id="24" w:name="_Toc142381807"/>
      <w:r>
        <w:lastRenderedPageBreak/>
        <w:t xml:space="preserve">For </w:t>
      </w:r>
      <w:r w:rsidR="00E22F50">
        <w:t xml:space="preserve">the </w:t>
      </w:r>
      <w:r w:rsidRPr="0042086B">
        <w:t>Higher Layer Parameter list</w:t>
      </w:r>
      <w:r>
        <w:t xml:space="preserve">, the bitmap-based solution for LTE-MTC has an “FFS” on the length of the bitmap. On this matter, it is important to mention that length of the bitmap depends on </w:t>
      </w:r>
      <w:r w:rsidRPr="00DD5AEA">
        <w:t>the CE Mode and whether Single-TB grant or Multi</w:t>
      </w:r>
      <w:r>
        <w:t>-</w:t>
      </w:r>
      <w:r w:rsidRPr="00DD5AEA">
        <w:t>TB grant are configured</w:t>
      </w:r>
      <w:r>
        <w:t>.</w:t>
      </w:r>
      <w:bookmarkEnd w:id="24"/>
    </w:p>
    <w:p w14:paraId="33B598FA" w14:textId="54EF670D" w:rsidR="0042086B" w:rsidRDefault="0042086B" w:rsidP="0042086B">
      <w:pPr>
        <w:pStyle w:val="Observation"/>
        <w:ind w:left="1701" w:hanging="1701"/>
      </w:pPr>
      <w:bookmarkStart w:id="25" w:name="_Toc142381808"/>
      <w:r>
        <w:t>In relation with the previous observation, Single TB-grant supports up to 14-HARQ processes in CE Mode A and up to 2-HARQ processes in CE Mode B, whereas Multi TB-grant supports up to 8-HARQ processes in CE Mode A and up to 4-HARQ processes in CE Mode B).</w:t>
      </w:r>
      <w:bookmarkEnd w:id="25"/>
    </w:p>
    <w:p w14:paraId="4AEE5EA4" w14:textId="77777777" w:rsidR="0042086B" w:rsidRDefault="0042086B" w:rsidP="0042086B"/>
    <w:tbl>
      <w:tblPr>
        <w:tblW w:w="9629" w:type="dxa"/>
        <w:tblLook w:val="04A0" w:firstRow="1" w:lastRow="0" w:firstColumn="1" w:lastColumn="0" w:noHBand="0" w:noVBand="1"/>
      </w:tblPr>
      <w:tblGrid>
        <w:gridCol w:w="1407"/>
        <w:gridCol w:w="1268"/>
        <w:gridCol w:w="817"/>
        <w:gridCol w:w="1819"/>
        <w:gridCol w:w="921"/>
        <w:gridCol w:w="2000"/>
        <w:gridCol w:w="1397"/>
      </w:tblGrid>
      <w:tr w:rsidR="0051440C" w:rsidRPr="0051440C" w14:paraId="52D3CCFB" w14:textId="77777777" w:rsidTr="0051440C">
        <w:trPr>
          <w:trHeight w:val="780"/>
        </w:trPr>
        <w:tc>
          <w:tcPr>
            <w:tcW w:w="1407"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556FC4A6" w14:textId="77777777" w:rsidR="0051440C" w:rsidRPr="0051440C" w:rsidRDefault="0051440C" w:rsidP="0051440C">
            <w:pPr>
              <w:overflowPunct/>
              <w:autoSpaceDE/>
              <w:autoSpaceDN/>
              <w:adjustRightInd/>
              <w:spacing w:after="0"/>
              <w:textAlignment w:val="auto"/>
              <w:rPr>
                <w:rFonts w:ascii="Arial" w:eastAsia="Times New Roman" w:hAnsi="Arial" w:cs="Arial"/>
                <w:b/>
                <w:bCs/>
                <w:color w:val="FFFFFF"/>
                <w:lang w:val="en-SE" w:eastAsia="en-SE"/>
              </w:rPr>
            </w:pPr>
            <w:r w:rsidRPr="0051440C">
              <w:rPr>
                <w:rFonts w:ascii="Arial" w:eastAsia="Times New Roman" w:hAnsi="Arial" w:cs="Arial"/>
                <w:b/>
                <w:bCs/>
                <w:color w:val="FFFFFF"/>
                <w:lang w:val="en-SE" w:eastAsia="en-SE"/>
              </w:rPr>
              <w:t>WI code</w:t>
            </w:r>
          </w:p>
        </w:tc>
        <w:tc>
          <w:tcPr>
            <w:tcW w:w="1268" w:type="dxa"/>
            <w:tcBorders>
              <w:top w:val="single" w:sz="4" w:space="0" w:color="auto"/>
              <w:left w:val="nil"/>
              <w:bottom w:val="single" w:sz="4" w:space="0" w:color="auto"/>
              <w:right w:val="single" w:sz="4" w:space="0" w:color="auto"/>
            </w:tcBorders>
            <w:shd w:val="clear" w:color="000000" w:fill="00B0F0"/>
            <w:vAlign w:val="center"/>
            <w:hideMark/>
          </w:tcPr>
          <w:p w14:paraId="3BD7FA35" w14:textId="77777777" w:rsidR="0051440C" w:rsidRPr="0051440C" w:rsidRDefault="0051440C" w:rsidP="0051440C">
            <w:pPr>
              <w:overflowPunct/>
              <w:autoSpaceDE/>
              <w:autoSpaceDN/>
              <w:adjustRightInd/>
              <w:spacing w:after="0"/>
              <w:textAlignment w:val="auto"/>
              <w:rPr>
                <w:rFonts w:ascii="Arial" w:eastAsia="Times New Roman" w:hAnsi="Arial" w:cs="Arial"/>
                <w:b/>
                <w:bCs/>
                <w:color w:val="FFFFFF"/>
                <w:lang w:val="en-SE" w:eastAsia="en-SE"/>
              </w:rPr>
            </w:pPr>
            <w:r w:rsidRPr="0051440C">
              <w:rPr>
                <w:rFonts w:ascii="Arial" w:eastAsia="Times New Roman" w:hAnsi="Arial" w:cs="Arial"/>
                <w:b/>
                <w:bCs/>
                <w:color w:val="FFFFFF"/>
                <w:lang w:val="en-SE" w:eastAsia="en-SE"/>
              </w:rPr>
              <w:t>Sub-feature group</w:t>
            </w:r>
          </w:p>
        </w:tc>
        <w:tc>
          <w:tcPr>
            <w:tcW w:w="817" w:type="dxa"/>
            <w:vMerge w:val="restart"/>
            <w:tcBorders>
              <w:top w:val="single" w:sz="4" w:space="0" w:color="auto"/>
              <w:left w:val="nil"/>
              <w:bottom w:val="single" w:sz="4" w:space="0" w:color="auto"/>
              <w:right w:val="single" w:sz="4" w:space="0" w:color="auto"/>
            </w:tcBorders>
            <w:shd w:val="clear" w:color="auto" w:fill="auto"/>
            <w:vAlign w:val="center"/>
            <w:hideMark/>
          </w:tcPr>
          <w:p w14:paraId="7E137151" w14:textId="45E051C5" w:rsidR="0051440C" w:rsidRPr="0051440C" w:rsidRDefault="0051440C" w:rsidP="0051440C">
            <w:pPr>
              <w:spacing w:after="0"/>
              <w:jc w:val="center"/>
              <w:rPr>
                <w:rFonts w:ascii="Arial" w:eastAsia="Times New Roman" w:hAnsi="Arial" w:cs="Arial"/>
                <w:b/>
                <w:bCs/>
                <w:lang w:val="en-US" w:eastAsia="en-SE"/>
              </w:rPr>
            </w:pPr>
            <w:r w:rsidRPr="0051440C">
              <w:rPr>
                <w:rFonts w:ascii="Arial" w:eastAsia="Times New Roman" w:hAnsi="Arial" w:cs="Arial"/>
                <w:b/>
                <w:bCs/>
                <w:lang w:val="en-US" w:eastAsia="en-SE"/>
              </w:rPr>
              <w:t>…</w:t>
            </w:r>
          </w:p>
        </w:tc>
        <w:tc>
          <w:tcPr>
            <w:tcW w:w="1819" w:type="dxa"/>
            <w:tcBorders>
              <w:top w:val="single" w:sz="4" w:space="0" w:color="auto"/>
              <w:left w:val="nil"/>
              <w:bottom w:val="single" w:sz="4" w:space="0" w:color="auto"/>
              <w:right w:val="single" w:sz="4" w:space="0" w:color="auto"/>
            </w:tcBorders>
            <w:shd w:val="clear" w:color="000000" w:fill="00B0F0"/>
            <w:vAlign w:val="center"/>
            <w:hideMark/>
          </w:tcPr>
          <w:p w14:paraId="1CCC3244" w14:textId="77777777" w:rsidR="0051440C" w:rsidRPr="0051440C" w:rsidRDefault="0051440C" w:rsidP="0051440C">
            <w:pPr>
              <w:overflowPunct/>
              <w:autoSpaceDE/>
              <w:autoSpaceDN/>
              <w:adjustRightInd/>
              <w:spacing w:after="0"/>
              <w:textAlignment w:val="auto"/>
              <w:rPr>
                <w:rFonts w:ascii="Arial" w:eastAsia="Times New Roman" w:hAnsi="Arial" w:cs="Arial"/>
                <w:b/>
                <w:bCs/>
                <w:color w:val="FFFFFF"/>
                <w:lang w:val="en-SE" w:eastAsia="en-SE"/>
              </w:rPr>
            </w:pPr>
            <w:r w:rsidRPr="0051440C">
              <w:rPr>
                <w:rFonts w:ascii="Arial" w:eastAsia="Times New Roman" w:hAnsi="Arial" w:cs="Arial"/>
                <w:b/>
                <w:bCs/>
                <w:color w:val="FFFFFF"/>
                <w:lang w:val="en-SE" w:eastAsia="en-SE"/>
              </w:rPr>
              <w:t>Parameter name in the text</w:t>
            </w:r>
          </w:p>
        </w:tc>
        <w:tc>
          <w:tcPr>
            <w:tcW w:w="921" w:type="dxa"/>
            <w:vMerge w:val="restart"/>
            <w:tcBorders>
              <w:top w:val="single" w:sz="4" w:space="0" w:color="auto"/>
              <w:left w:val="nil"/>
              <w:right w:val="single" w:sz="4" w:space="0" w:color="auto"/>
            </w:tcBorders>
            <w:shd w:val="clear" w:color="auto" w:fill="auto"/>
          </w:tcPr>
          <w:p w14:paraId="66D0138F" w14:textId="77777777" w:rsidR="0051440C" w:rsidRDefault="0051440C" w:rsidP="0051440C">
            <w:pPr>
              <w:overflowPunct/>
              <w:autoSpaceDE/>
              <w:autoSpaceDN/>
              <w:adjustRightInd/>
              <w:spacing w:after="0"/>
              <w:jc w:val="center"/>
              <w:textAlignment w:val="auto"/>
              <w:rPr>
                <w:rFonts w:ascii="Arial" w:eastAsia="Times New Roman" w:hAnsi="Arial" w:cs="Arial"/>
                <w:b/>
                <w:bCs/>
                <w:lang w:val="en-US" w:eastAsia="en-SE"/>
              </w:rPr>
            </w:pPr>
          </w:p>
          <w:p w14:paraId="11CB2A58" w14:textId="77777777" w:rsidR="0051440C" w:rsidRDefault="0051440C" w:rsidP="0051440C">
            <w:pPr>
              <w:overflowPunct/>
              <w:autoSpaceDE/>
              <w:autoSpaceDN/>
              <w:adjustRightInd/>
              <w:spacing w:after="0"/>
              <w:jc w:val="center"/>
              <w:textAlignment w:val="auto"/>
              <w:rPr>
                <w:rFonts w:ascii="Arial" w:eastAsia="Times New Roman" w:hAnsi="Arial" w:cs="Arial"/>
                <w:b/>
                <w:bCs/>
                <w:lang w:val="en-US" w:eastAsia="en-SE"/>
              </w:rPr>
            </w:pPr>
          </w:p>
          <w:p w14:paraId="163389CE" w14:textId="3E92A72F" w:rsidR="0051440C" w:rsidRDefault="0051440C" w:rsidP="0051440C">
            <w:pPr>
              <w:overflowPunct/>
              <w:autoSpaceDE/>
              <w:autoSpaceDN/>
              <w:adjustRightInd/>
              <w:spacing w:after="0"/>
              <w:jc w:val="center"/>
              <w:textAlignment w:val="auto"/>
              <w:rPr>
                <w:rFonts w:ascii="Arial" w:eastAsia="Times New Roman" w:hAnsi="Arial" w:cs="Arial"/>
                <w:b/>
                <w:bCs/>
                <w:lang w:val="en-US" w:eastAsia="en-SE"/>
              </w:rPr>
            </w:pPr>
          </w:p>
          <w:p w14:paraId="1B24862D" w14:textId="633C267D" w:rsidR="00F96EA0" w:rsidRDefault="00F96EA0" w:rsidP="0051440C">
            <w:pPr>
              <w:overflowPunct/>
              <w:autoSpaceDE/>
              <w:autoSpaceDN/>
              <w:adjustRightInd/>
              <w:spacing w:after="0"/>
              <w:jc w:val="center"/>
              <w:textAlignment w:val="auto"/>
              <w:rPr>
                <w:rFonts w:ascii="Arial" w:eastAsia="Times New Roman" w:hAnsi="Arial" w:cs="Arial"/>
                <w:b/>
                <w:bCs/>
                <w:lang w:val="en-US" w:eastAsia="en-SE"/>
              </w:rPr>
            </w:pPr>
          </w:p>
          <w:p w14:paraId="159D87D1" w14:textId="577020CF" w:rsidR="00F96EA0" w:rsidRDefault="00F96EA0" w:rsidP="0051440C">
            <w:pPr>
              <w:overflowPunct/>
              <w:autoSpaceDE/>
              <w:autoSpaceDN/>
              <w:adjustRightInd/>
              <w:spacing w:after="0"/>
              <w:jc w:val="center"/>
              <w:textAlignment w:val="auto"/>
              <w:rPr>
                <w:rFonts w:ascii="Arial" w:eastAsia="Times New Roman" w:hAnsi="Arial" w:cs="Arial"/>
                <w:b/>
                <w:bCs/>
                <w:lang w:val="en-US" w:eastAsia="en-SE"/>
              </w:rPr>
            </w:pPr>
          </w:p>
          <w:p w14:paraId="03A794C5" w14:textId="4F030ECD" w:rsidR="00F96EA0" w:rsidRDefault="00F96EA0" w:rsidP="0051440C">
            <w:pPr>
              <w:overflowPunct/>
              <w:autoSpaceDE/>
              <w:autoSpaceDN/>
              <w:adjustRightInd/>
              <w:spacing w:after="0"/>
              <w:jc w:val="center"/>
              <w:textAlignment w:val="auto"/>
              <w:rPr>
                <w:rFonts w:ascii="Arial" w:eastAsia="Times New Roman" w:hAnsi="Arial" w:cs="Arial"/>
                <w:b/>
                <w:bCs/>
                <w:lang w:val="en-US" w:eastAsia="en-SE"/>
              </w:rPr>
            </w:pPr>
          </w:p>
          <w:p w14:paraId="435BA205" w14:textId="2D636199" w:rsidR="00F96EA0" w:rsidRDefault="00F96EA0" w:rsidP="0051440C">
            <w:pPr>
              <w:overflowPunct/>
              <w:autoSpaceDE/>
              <w:autoSpaceDN/>
              <w:adjustRightInd/>
              <w:spacing w:after="0"/>
              <w:jc w:val="center"/>
              <w:textAlignment w:val="auto"/>
              <w:rPr>
                <w:rFonts w:ascii="Arial" w:eastAsia="Times New Roman" w:hAnsi="Arial" w:cs="Arial"/>
                <w:b/>
                <w:bCs/>
                <w:lang w:val="en-US" w:eastAsia="en-SE"/>
              </w:rPr>
            </w:pPr>
          </w:p>
          <w:p w14:paraId="58A404DF" w14:textId="275BB422" w:rsidR="00F96EA0" w:rsidRDefault="00F96EA0" w:rsidP="0051440C">
            <w:pPr>
              <w:overflowPunct/>
              <w:autoSpaceDE/>
              <w:autoSpaceDN/>
              <w:adjustRightInd/>
              <w:spacing w:after="0"/>
              <w:jc w:val="center"/>
              <w:textAlignment w:val="auto"/>
              <w:rPr>
                <w:rFonts w:ascii="Arial" w:eastAsia="Times New Roman" w:hAnsi="Arial" w:cs="Arial"/>
                <w:b/>
                <w:bCs/>
                <w:lang w:val="en-US" w:eastAsia="en-SE"/>
              </w:rPr>
            </w:pPr>
          </w:p>
          <w:p w14:paraId="041A3D05" w14:textId="77777777" w:rsidR="00F96EA0" w:rsidRDefault="00F96EA0" w:rsidP="0051440C">
            <w:pPr>
              <w:overflowPunct/>
              <w:autoSpaceDE/>
              <w:autoSpaceDN/>
              <w:adjustRightInd/>
              <w:spacing w:after="0"/>
              <w:jc w:val="center"/>
              <w:textAlignment w:val="auto"/>
              <w:rPr>
                <w:rFonts w:ascii="Arial" w:eastAsia="Times New Roman" w:hAnsi="Arial" w:cs="Arial"/>
                <w:b/>
                <w:bCs/>
                <w:lang w:val="en-US" w:eastAsia="en-SE"/>
              </w:rPr>
            </w:pPr>
          </w:p>
          <w:p w14:paraId="27421B0D" w14:textId="77777777" w:rsidR="0051440C" w:rsidRDefault="0051440C" w:rsidP="0051440C">
            <w:pPr>
              <w:overflowPunct/>
              <w:autoSpaceDE/>
              <w:autoSpaceDN/>
              <w:adjustRightInd/>
              <w:spacing w:after="0"/>
              <w:jc w:val="center"/>
              <w:textAlignment w:val="auto"/>
              <w:rPr>
                <w:rFonts w:ascii="Arial" w:eastAsia="Times New Roman" w:hAnsi="Arial" w:cs="Arial"/>
                <w:b/>
                <w:bCs/>
                <w:lang w:val="en-US" w:eastAsia="en-SE"/>
              </w:rPr>
            </w:pPr>
          </w:p>
          <w:p w14:paraId="7526CC05" w14:textId="523A725C" w:rsidR="0051440C" w:rsidRPr="0051440C" w:rsidRDefault="0051440C" w:rsidP="0051440C">
            <w:pPr>
              <w:overflowPunct/>
              <w:autoSpaceDE/>
              <w:autoSpaceDN/>
              <w:adjustRightInd/>
              <w:spacing w:after="0"/>
              <w:jc w:val="center"/>
              <w:textAlignment w:val="auto"/>
              <w:rPr>
                <w:rFonts w:ascii="Arial" w:eastAsia="Times New Roman" w:hAnsi="Arial" w:cs="Arial"/>
                <w:b/>
                <w:bCs/>
                <w:color w:val="FFFFFF"/>
                <w:lang w:val="en-SE" w:eastAsia="en-SE"/>
              </w:rPr>
            </w:pPr>
            <w:r w:rsidRPr="0051440C">
              <w:rPr>
                <w:rFonts w:ascii="Arial" w:eastAsia="Times New Roman" w:hAnsi="Arial" w:cs="Arial"/>
                <w:b/>
                <w:bCs/>
                <w:lang w:val="en-US" w:eastAsia="en-SE"/>
              </w:rPr>
              <w:t>…</w:t>
            </w:r>
          </w:p>
        </w:tc>
        <w:tc>
          <w:tcPr>
            <w:tcW w:w="200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05EC7BB2" w14:textId="34DF4A01" w:rsidR="0051440C" w:rsidRPr="0051440C" w:rsidRDefault="0051440C" w:rsidP="0051440C">
            <w:pPr>
              <w:overflowPunct/>
              <w:autoSpaceDE/>
              <w:autoSpaceDN/>
              <w:adjustRightInd/>
              <w:spacing w:after="0"/>
              <w:textAlignment w:val="auto"/>
              <w:rPr>
                <w:rFonts w:ascii="Arial" w:eastAsia="Times New Roman" w:hAnsi="Arial" w:cs="Arial"/>
                <w:b/>
                <w:bCs/>
                <w:color w:val="FFFFFF"/>
                <w:lang w:val="en-SE" w:eastAsia="en-SE"/>
              </w:rPr>
            </w:pPr>
            <w:r w:rsidRPr="0051440C">
              <w:rPr>
                <w:rFonts w:ascii="Arial" w:eastAsia="Times New Roman" w:hAnsi="Arial" w:cs="Arial"/>
                <w:b/>
                <w:bCs/>
                <w:color w:val="FFFFFF"/>
                <w:lang w:val="en-SE" w:eastAsia="en-SE"/>
              </w:rPr>
              <w:t>Value range</w:t>
            </w:r>
          </w:p>
        </w:tc>
        <w:tc>
          <w:tcPr>
            <w:tcW w:w="1397" w:type="dxa"/>
            <w:tcBorders>
              <w:top w:val="single" w:sz="4" w:space="0" w:color="auto"/>
              <w:left w:val="nil"/>
              <w:bottom w:val="single" w:sz="4" w:space="0" w:color="auto"/>
              <w:right w:val="single" w:sz="4" w:space="0" w:color="auto"/>
            </w:tcBorders>
            <w:shd w:val="clear" w:color="000000" w:fill="00B0F0"/>
            <w:vAlign w:val="center"/>
            <w:hideMark/>
          </w:tcPr>
          <w:p w14:paraId="5C520D44" w14:textId="77777777" w:rsidR="0051440C" w:rsidRPr="0051440C" w:rsidRDefault="0051440C" w:rsidP="0051440C">
            <w:pPr>
              <w:overflowPunct/>
              <w:autoSpaceDE/>
              <w:autoSpaceDN/>
              <w:adjustRightInd/>
              <w:spacing w:after="0"/>
              <w:textAlignment w:val="auto"/>
              <w:rPr>
                <w:rFonts w:ascii="Arial" w:eastAsia="Times New Roman" w:hAnsi="Arial" w:cs="Arial"/>
                <w:b/>
                <w:bCs/>
                <w:color w:val="FFFFFF"/>
                <w:lang w:val="en-SE" w:eastAsia="en-SE"/>
              </w:rPr>
            </w:pPr>
            <w:r w:rsidRPr="0051440C">
              <w:rPr>
                <w:rFonts w:ascii="Arial" w:eastAsia="Times New Roman" w:hAnsi="Arial" w:cs="Arial"/>
                <w:b/>
                <w:bCs/>
                <w:color w:val="FFFFFF"/>
                <w:lang w:val="en-SE" w:eastAsia="en-SE"/>
              </w:rPr>
              <w:t>Default value aspect</w:t>
            </w:r>
          </w:p>
        </w:tc>
      </w:tr>
      <w:tr w:rsidR="0051440C" w:rsidRPr="0051440C" w14:paraId="2F7AD31C" w14:textId="77777777" w:rsidTr="0051440C">
        <w:trPr>
          <w:trHeight w:val="920"/>
        </w:trPr>
        <w:tc>
          <w:tcPr>
            <w:tcW w:w="1407" w:type="dxa"/>
            <w:tcBorders>
              <w:top w:val="nil"/>
              <w:left w:val="single" w:sz="4" w:space="0" w:color="auto"/>
              <w:bottom w:val="single" w:sz="4" w:space="0" w:color="auto"/>
              <w:right w:val="single" w:sz="4" w:space="0" w:color="auto"/>
            </w:tcBorders>
            <w:shd w:val="clear" w:color="auto" w:fill="auto"/>
            <w:vAlign w:val="center"/>
            <w:hideMark/>
          </w:tcPr>
          <w:p w14:paraId="226BACE0" w14:textId="77777777" w:rsidR="0051440C" w:rsidRPr="0051440C" w:rsidRDefault="0051440C" w:rsidP="0051440C">
            <w:pPr>
              <w:overflowPunct/>
              <w:autoSpaceDE/>
              <w:autoSpaceDN/>
              <w:adjustRightInd/>
              <w:spacing w:after="0"/>
              <w:textAlignment w:val="auto"/>
              <w:rPr>
                <w:rFonts w:ascii="Arial" w:eastAsia="Times New Roman" w:hAnsi="Arial" w:cs="Arial"/>
                <w:color w:val="0000FF"/>
                <w:sz w:val="18"/>
                <w:szCs w:val="18"/>
                <w:lang w:val="en-SE" w:eastAsia="en-SE"/>
              </w:rPr>
            </w:pPr>
            <w:r w:rsidRPr="0051440C">
              <w:rPr>
                <w:rFonts w:ascii="Arial" w:eastAsia="Times New Roman" w:hAnsi="Arial" w:cs="Arial"/>
                <w:color w:val="0000FF"/>
                <w:sz w:val="18"/>
                <w:szCs w:val="18"/>
                <w:lang w:val="en-SE" w:eastAsia="en-SE"/>
              </w:rPr>
              <w:t>IoT_NTN_enh-Core</w:t>
            </w:r>
          </w:p>
        </w:tc>
        <w:tc>
          <w:tcPr>
            <w:tcW w:w="1268" w:type="dxa"/>
            <w:tcBorders>
              <w:top w:val="nil"/>
              <w:left w:val="nil"/>
              <w:bottom w:val="single" w:sz="4" w:space="0" w:color="auto"/>
              <w:right w:val="single" w:sz="4" w:space="0" w:color="auto"/>
            </w:tcBorders>
            <w:shd w:val="clear" w:color="auto" w:fill="auto"/>
            <w:vAlign w:val="center"/>
            <w:hideMark/>
          </w:tcPr>
          <w:p w14:paraId="17D3D23D" w14:textId="77777777" w:rsidR="0051440C" w:rsidRPr="0051440C" w:rsidRDefault="0051440C" w:rsidP="0051440C">
            <w:pPr>
              <w:overflowPunct/>
              <w:autoSpaceDE/>
              <w:autoSpaceDN/>
              <w:adjustRightInd/>
              <w:spacing w:after="0"/>
              <w:textAlignment w:val="auto"/>
              <w:rPr>
                <w:rFonts w:ascii="Arial" w:eastAsia="Times New Roman" w:hAnsi="Arial" w:cs="Arial"/>
                <w:color w:val="0000FF"/>
                <w:sz w:val="18"/>
                <w:szCs w:val="18"/>
                <w:lang w:val="en-SE" w:eastAsia="en-SE"/>
              </w:rPr>
            </w:pPr>
            <w:r w:rsidRPr="0051440C">
              <w:rPr>
                <w:rFonts w:ascii="Arial" w:eastAsia="Times New Roman" w:hAnsi="Arial" w:cs="Arial"/>
                <w:color w:val="0000FF"/>
                <w:sz w:val="18"/>
                <w:szCs w:val="18"/>
                <w:lang w:val="en-SE" w:eastAsia="en-SE"/>
              </w:rPr>
              <w:t>HARQ feedback disabling for eMTC CE mode A and mode B</w:t>
            </w:r>
          </w:p>
        </w:tc>
        <w:tc>
          <w:tcPr>
            <w:tcW w:w="817" w:type="dxa"/>
            <w:vMerge/>
            <w:tcBorders>
              <w:left w:val="nil"/>
              <w:bottom w:val="single" w:sz="4" w:space="0" w:color="auto"/>
              <w:right w:val="single" w:sz="4" w:space="0" w:color="auto"/>
            </w:tcBorders>
            <w:shd w:val="clear" w:color="auto" w:fill="auto"/>
            <w:noWrap/>
            <w:vAlign w:val="center"/>
            <w:hideMark/>
          </w:tcPr>
          <w:p w14:paraId="74EDE0AB" w14:textId="210EC192" w:rsidR="0051440C" w:rsidRPr="0051440C" w:rsidRDefault="0051440C" w:rsidP="0051440C">
            <w:pPr>
              <w:overflowPunct/>
              <w:autoSpaceDE/>
              <w:autoSpaceDN/>
              <w:adjustRightInd/>
              <w:spacing w:after="0"/>
              <w:textAlignment w:val="auto"/>
              <w:rPr>
                <w:rFonts w:ascii="Arial" w:eastAsia="Times New Roman" w:hAnsi="Arial" w:cs="Arial"/>
                <w:color w:val="0000FF"/>
                <w:sz w:val="18"/>
                <w:szCs w:val="18"/>
                <w:lang w:val="en-SE" w:eastAsia="en-SE"/>
              </w:rPr>
            </w:pPr>
          </w:p>
        </w:tc>
        <w:tc>
          <w:tcPr>
            <w:tcW w:w="1819" w:type="dxa"/>
            <w:tcBorders>
              <w:top w:val="nil"/>
              <w:left w:val="nil"/>
              <w:bottom w:val="single" w:sz="4" w:space="0" w:color="auto"/>
              <w:right w:val="single" w:sz="4" w:space="0" w:color="auto"/>
            </w:tcBorders>
            <w:shd w:val="clear" w:color="auto" w:fill="auto"/>
            <w:vAlign w:val="center"/>
            <w:hideMark/>
          </w:tcPr>
          <w:p w14:paraId="0406FB87" w14:textId="77777777" w:rsidR="0051440C" w:rsidRPr="0051440C" w:rsidRDefault="0051440C" w:rsidP="0051440C">
            <w:pPr>
              <w:overflowPunct/>
              <w:autoSpaceDE/>
              <w:autoSpaceDN/>
              <w:adjustRightInd/>
              <w:spacing w:after="0"/>
              <w:textAlignment w:val="auto"/>
              <w:rPr>
                <w:rFonts w:ascii="Arial" w:eastAsia="Times New Roman" w:hAnsi="Arial" w:cs="Arial"/>
                <w:color w:val="0000FF"/>
                <w:sz w:val="18"/>
                <w:szCs w:val="18"/>
                <w:lang w:val="en-SE" w:eastAsia="en-SE"/>
              </w:rPr>
            </w:pPr>
            <w:r w:rsidRPr="0051440C">
              <w:rPr>
                <w:rFonts w:ascii="Arial" w:eastAsia="Times New Roman" w:hAnsi="Arial" w:cs="Arial"/>
                <w:color w:val="0000FF"/>
                <w:sz w:val="18"/>
                <w:szCs w:val="18"/>
                <w:lang w:val="en-SE" w:eastAsia="en-SE"/>
              </w:rPr>
              <w:t>downlinkHARQ-FeedbackDisabled-Bitmap</w:t>
            </w:r>
          </w:p>
        </w:tc>
        <w:tc>
          <w:tcPr>
            <w:tcW w:w="921" w:type="dxa"/>
            <w:vMerge/>
            <w:tcBorders>
              <w:left w:val="nil"/>
              <w:bottom w:val="single" w:sz="4" w:space="0" w:color="auto"/>
              <w:right w:val="single" w:sz="4" w:space="0" w:color="auto"/>
            </w:tcBorders>
            <w:shd w:val="clear" w:color="auto" w:fill="auto"/>
          </w:tcPr>
          <w:p w14:paraId="5D2C9594" w14:textId="77777777" w:rsidR="0051440C" w:rsidRPr="0051440C" w:rsidRDefault="0051440C" w:rsidP="0051440C">
            <w:pPr>
              <w:overflowPunct/>
              <w:autoSpaceDE/>
              <w:autoSpaceDN/>
              <w:adjustRightInd/>
              <w:spacing w:after="0"/>
              <w:textAlignment w:val="auto"/>
              <w:rPr>
                <w:rFonts w:ascii="Arial" w:eastAsia="Times New Roman" w:hAnsi="Arial" w:cs="Arial"/>
                <w:color w:val="0000FF"/>
                <w:sz w:val="18"/>
                <w:szCs w:val="18"/>
                <w:lang w:val="en-SE" w:eastAsia="en-SE"/>
              </w:rPr>
            </w:pPr>
          </w:p>
        </w:tc>
        <w:tc>
          <w:tcPr>
            <w:tcW w:w="2000" w:type="dxa"/>
            <w:tcBorders>
              <w:top w:val="nil"/>
              <w:left w:val="single" w:sz="4" w:space="0" w:color="auto"/>
              <w:bottom w:val="single" w:sz="4" w:space="0" w:color="auto"/>
              <w:right w:val="single" w:sz="4" w:space="0" w:color="auto"/>
            </w:tcBorders>
            <w:shd w:val="clear" w:color="auto" w:fill="auto"/>
            <w:vAlign w:val="center"/>
            <w:hideMark/>
          </w:tcPr>
          <w:p w14:paraId="32FBE733" w14:textId="77777777" w:rsidR="0051440C" w:rsidRPr="007E227C" w:rsidRDefault="0051440C" w:rsidP="0051440C">
            <w:pPr>
              <w:overflowPunct/>
              <w:autoSpaceDE/>
              <w:autoSpaceDN/>
              <w:adjustRightInd/>
              <w:spacing w:after="0"/>
              <w:textAlignment w:val="auto"/>
              <w:rPr>
                <w:rFonts w:ascii="Arial" w:eastAsia="Times New Roman" w:hAnsi="Arial" w:cs="Arial"/>
                <w:color w:val="0000FF"/>
                <w:sz w:val="18"/>
                <w:szCs w:val="18"/>
                <w:highlight w:val="yellow"/>
                <w:lang w:val="en-SE" w:eastAsia="en-SE"/>
              </w:rPr>
            </w:pPr>
            <w:r w:rsidRPr="0051440C">
              <w:rPr>
                <w:rFonts w:ascii="Arial" w:eastAsia="Times New Roman" w:hAnsi="Arial" w:cs="Arial"/>
                <w:color w:val="0000FF"/>
                <w:sz w:val="18"/>
                <w:szCs w:val="18"/>
                <w:lang w:val="en-SE" w:eastAsia="en-SE"/>
              </w:rPr>
              <w:t xml:space="preserve">Bitmap </w:t>
            </w:r>
            <w:r w:rsidRPr="0051440C">
              <w:rPr>
                <w:rFonts w:ascii="Arial" w:eastAsia="Times New Roman" w:hAnsi="Arial" w:cs="Arial"/>
                <w:strike/>
                <w:color w:val="FF0000"/>
                <w:sz w:val="18"/>
                <w:szCs w:val="18"/>
                <w:highlight w:val="yellow"/>
                <w:lang w:val="en-SE" w:eastAsia="en-SE"/>
              </w:rPr>
              <w:t>[TBD length]</w:t>
            </w:r>
          </w:p>
          <w:p w14:paraId="5C67A7E2" w14:textId="7CDD4F67" w:rsidR="00F96EA0" w:rsidRPr="007E227C" w:rsidRDefault="0082360B" w:rsidP="00F96EA0">
            <w:pPr>
              <w:pStyle w:val="ListParagraph"/>
              <w:numPr>
                <w:ilvl w:val="0"/>
                <w:numId w:val="44"/>
              </w:numPr>
              <w:overflowPunct/>
              <w:autoSpaceDE/>
              <w:autoSpaceDN/>
              <w:adjustRightInd/>
              <w:textAlignment w:val="auto"/>
              <w:rPr>
                <w:rFonts w:ascii="Arial" w:eastAsia="Times New Roman" w:hAnsi="Arial" w:cs="Arial"/>
                <w:color w:val="0000FF"/>
                <w:sz w:val="18"/>
                <w:szCs w:val="18"/>
                <w:highlight w:val="yellow"/>
                <w:lang w:val="en-SE" w:eastAsia="en-SE"/>
              </w:rPr>
            </w:pPr>
            <w:bookmarkStart w:id="26" w:name="_Hlk140652077"/>
            <w:r>
              <w:rPr>
                <w:rFonts w:ascii="Arial" w:eastAsia="Times New Roman" w:hAnsi="Arial" w:cs="Arial"/>
                <w:color w:val="0000FF"/>
                <w:sz w:val="18"/>
                <w:szCs w:val="18"/>
                <w:highlight w:val="yellow"/>
                <w:lang w:val="en-US" w:eastAsia="en-SE"/>
              </w:rPr>
              <w:t>14</w:t>
            </w:r>
            <w:r w:rsidR="00F96EA0" w:rsidRPr="007E227C">
              <w:rPr>
                <w:rFonts w:ascii="Arial" w:eastAsia="Times New Roman" w:hAnsi="Arial" w:cs="Arial"/>
                <w:color w:val="0000FF"/>
                <w:sz w:val="18"/>
                <w:szCs w:val="18"/>
                <w:highlight w:val="yellow"/>
                <w:lang w:val="en-US" w:eastAsia="en-SE"/>
              </w:rPr>
              <w:t>-bits in CE Mode A for Single-TB grant</w:t>
            </w:r>
          </w:p>
          <w:p w14:paraId="536A6599" w14:textId="79AE596A" w:rsidR="00F96EA0" w:rsidRPr="007E227C" w:rsidRDefault="0082360B" w:rsidP="00F96EA0">
            <w:pPr>
              <w:pStyle w:val="ListParagraph"/>
              <w:numPr>
                <w:ilvl w:val="0"/>
                <w:numId w:val="44"/>
              </w:numPr>
              <w:overflowPunct/>
              <w:autoSpaceDE/>
              <w:autoSpaceDN/>
              <w:adjustRightInd/>
              <w:textAlignment w:val="auto"/>
              <w:rPr>
                <w:rFonts w:ascii="Arial" w:eastAsia="Times New Roman" w:hAnsi="Arial" w:cs="Arial"/>
                <w:color w:val="0000FF"/>
                <w:sz w:val="18"/>
                <w:szCs w:val="18"/>
                <w:highlight w:val="yellow"/>
                <w:lang w:val="en-SE" w:eastAsia="en-SE"/>
              </w:rPr>
            </w:pPr>
            <w:r>
              <w:rPr>
                <w:rFonts w:ascii="Arial" w:eastAsia="Times New Roman" w:hAnsi="Arial" w:cs="Arial"/>
                <w:color w:val="0000FF"/>
                <w:sz w:val="18"/>
                <w:szCs w:val="18"/>
                <w:highlight w:val="yellow"/>
                <w:lang w:val="en-US" w:eastAsia="en-SE"/>
              </w:rPr>
              <w:t>2</w:t>
            </w:r>
            <w:r w:rsidR="00F96EA0" w:rsidRPr="007E227C">
              <w:rPr>
                <w:rFonts w:ascii="Arial" w:eastAsia="Times New Roman" w:hAnsi="Arial" w:cs="Arial"/>
                <w:color w:val="0000FF"/>
                <w:sz w:val="18"/>
                <w:szCs w:val="18"/>
                <w:highlight w:val="yellow"/>
                <w:lang w:val="en-US" w:eastAsia="en-SE"/>
              </w:rPr>
              <w:t>-bit</w:t>
            </w:r>
            <w:r>
              <w:rPr>
                <w:rFonts w:ascii="Arial" w:eastAsia="Times New Roman" w:hAnsi="Arial" w:cs="Arial"/>
                <w:color w:val="0000FF"/>
                <w:sz w:val="18"/>
                <w:szCs w:val="18"/>
                <w:highlight w:val="yellow"/>
                <w:lang w:val="en-US" w:eastAsia="en-SE"/>
              </w:rPr>
              <w:t>s</w:t>
            </w:r>
            <w:r w:rsidR="00F96EA0" w:rsidRPr="007E227C">
              <w:rPr>
                <w:rFonts w:ascii="Arial" w:eastAsia="Times New Roman" w:hAnsi="Arial" w:cs="Arial"/>
                <w:color w:val="0000FF"/>
                <w:sz w:val="18"/>
                <w:szCs w:val="18"/>
                <w:highlight w:val="yellow"/>
                <w:lang w:val="en-US" w:eastAsia="en-SE"/>
              </w:rPr>
              <w:t xml:space="preserve"> in CE Mode B for Single-TB grant</w:t>
            </w:r>
          </w:p>
          <w:p w14:paraId="1B16E720" w14:textId="65D99DBA" w:rsidR="00F96EA0" w:rsidRPr="007E227C" w:rsidRDefault="0082360B" w:rsidP="00F96EA0">
            <w:pPr>
              <w:pStyle w:val="ListParagraph"/>
              <w:numPr>
                <w:ilvl w:val="0"/>
                <w:numId w:val="44"/>
              </w:numPr>
              <w:overflowPunct/>
              <w:autoSpaceDE/>
              <w:autoSpaceDN/>
              <w:adjustRightInd/>
              <w:textAlignment w:val="auto"/>
              <w:rPr>
                <w:rFonts w:ascii="Arial" w:eastAsia="Times New Roman" w:hAnsi="Arial" w:cs="Arial"/>
                <w:color w:val="0000FF"/>
                <w:sz w:val="18"/>
                <w:szCs w:val="18"/>
                <w:highlight w:val="yellow"/>
                <w:lang w:val="en-SE" w:eastAsia="en-SE"/>
              </w:rPr>
            </w:pPr>
            <w:r>
              <w:rPr>
                <w:rFonts w:ascii="Arial" w:eastAsia="Times New Roman" w:hAnsi="Arial" w:cs="Arial"/>
                <w:color w:val="0000FF"/>
                <w:sz w:val="18"/>
                <w:szCs w:val="18"/>
                <w:highlight w:val="yellow"/>
                <w:lang w:val="en-US" w:eastAsia="en-SE"/>
              </w:rPr>
              <w:t>8</w:t>
            </w:r>
            <w:r w:rsidR="00F96EA0" w:rsidRPr="007E227C">
              <w:rPr>
                <w:rFonts w:ascii="Arial" w:eastAsia="Times New Roman" w:hAnsi="Arial" w:cs="Arial"/>
                <w:color w:val="0000FF"/>
                <w:sz w:val="18"/>
                <w:szCs w:val="18"/>
                <w:highlight w:val="yellow"/>
                <w:lang w:val="en-US" w:eastAsia="en-SE"/>
              </w:rPr>
              <w:t>-bits in CE Mode A for Multi-TB grant</w:t>
            </w:r>
          </w:p>
          <w:p w14:paraId="58AD86B9" w14:textId="58FE06F4" w:rsidR="00F96EA0" w:rsidRPr="007E227C" w:rsidRDefault="00F96EA0" w:rsidP="00F96EA0">
            <w:pPr>
              <w:pStyle w:val="ListParagraph"/>
              <w:numPr>
                <w:ilvl w:val="0"/>
                <w:numId w:val="44"/>
              </w:numPr>
              <w:overflowPunct/>
              <w:autoSpaceDE/>
              <w:autoSpaceDN/>
              <w:adjustRightInd/>
              <w:textAlignment w:val="auto"/>
              <w:rPr>
                <w:rFonts w:ascii="Arial" w:eastAsia="Times New Roman" w:hAnsi="Arial" w:cs="Arial"/>
                <w:color w:val="0000FF"/>
                <w:sz w:val="18"/>
                <w:szCs w:val="18"/>
                <w:highlight w:val="yellow"/>
                <w:lang w:val="en-SE" w:eastAsia="en-SE"/>
              </w:rPr>
            </w:pPr>
            <w:r w:rsidRPr="007E227C">
              <w:rPr>
                <w:rFonts w:ascii="Arial" w:eastAsia="Times New Roman" w:hAnsi="Arial" w:cs="Arial"/>
                <w:color w:val="0000FF"/>
                <w:sz w:val="18"/>
                <w:szCs w:val="18"/>
                <w:highlight w:val="yellow"/>
                <w:lang w:val="en-US" w:eastAsia="en-SE"/>
              </w:rPr>
              <w:t>4-bits in CE Mode B for Multi-TB grant</w:t>
            </w:r>
          </w:p>
          <w:bookmarkEnd w:id="26"/>
          <w:p w14:paraId="6F5AB5AD" w14:textId="768B6326" w:rsidR="00F96EA0" w:rsidRPr="00F96EA0" w:rsidRDefault="00F96EA0" w:rsidP="00F96EA0">
            <w:pPr>
              <w:pStyle w:val="ListParagraph"/>
              <w:overflowPunct/>
              <w:autoSpaceDE/>
              <w:autoSpaceDN/>
              <w:adjustRightInd/>
              <w:textAlignment w:val="auto"/>
              <w:rPr>
                <w:rFonts w:ascii="Arial" w:eastAsia="Times New Roman" w:hAnsi="Arial" w:cs="Arial"/>
                <w:color w:val="0000FF"/>
                <w:sz w:val="18"/>
                <w:szCs w:val="18"/>
                <w:lang w:val="en-SE" w:eastAsia="en-SE"/>
              </w:rPr>
            </w:pPr>
          </w:p>
        </w:tc>
        <w:tc>
          <w:tcPr>
            <w:tcW w:w="1397" w:type="dxa"/>
            <w:tcBorders>
              <w:top w:val="nil"/>
              <w:left w:val="nil"/>
              <w:bottom w:val="single" w:sz="4" w:space="0" w:color="auto"/>
              <w:right w:val="single" w:sz="4" w:space="0" w:color="auto"/>
            </w:tcBorders>
            <w:shd w:val="clear" w:color="auto" w:fill="auto"/>
            <w:noWrap/>
            <w:vAlign w:val="center"/>
            <w:hideMark/>
          </w:tcPr>
          <w:p w14:paraId="05F8A912" w14:textId="5251989E" w:rsidR="0051440C" w:rsidRPr="0051440C" w:rsidRDefault="0051440C" w:rsidP="0051440C">
            <w:pPr>
              <w:overflowPunct/>
              <w:autoSpaceDE/>
              <w:autoSpaceDN/>
              <w:adjustRightInd/>
              <w:spacing w:after="0"/>
              <w:textAlignment w:val="auto"/>
              <w:rPr>
                <w:rFonts w:ascii="Arial" w:eastAsia="Times New Roman" w:hAnsi="Arial" w:cs="Arial"/>
                <w:color w:val="0000FF"/>
                <w:sz w:val="18"/>
                <w:szCs w:val="18"/>
                <w:lang w:val="en-US" w:eastAsia="en-SE"/>
              </w:rPr>
            </w:pPr>
            <w:r w:rsidRPr="0051440C">
              <w:rPr>
                <w:rFonts w:ascii="Arial" w:eastAsia="Times New Roman" w:hAnsi="Arial" w:cs="Arial"/>
                <w:strike/>
                <w:color w:val="FF0000"/>
                <w:sz w:val="18"/>
                <w:szCs w:val="18"/>
                <w:highlight w:val="yellow"/>
                <w:lang w:val="en-SE" w:eastAsia="en-SE"/>
              </w:rPr>
              <w:t>FFS</w:t>
            </w:r>
            <w:r w:rsidR="00F96EA0" w:rsidRPr="007E227C">
              <w:rPr>
                <w:rFonts w:ascii="Arial" w:eastAsia="Times New Roman" w:hAnsi="Arial" w:cs="Arial"/>
                <w:color w:val="0000FF"/>
                <w:sz w:val="18"/>
                <w:szCs w:val="18"/>
                <w:highlight w:val="yellow"/>
                <w:lang w:val="en-US" w:eastAsia="en-SE"/>
              </w:rPr>
              <w:t xml:space="preserve"> Depends on </w:t>
            </w:r>
            <w:bookmarkStart w:id="27" w:name="_Hlk140651496"/>
            <w:r w:rsidR="00F96EA0" w:rsidRPr="007E227C">
              <w:rPr>
                <w:rFonts w:ascii="Arial" w:eastAsia="Times New Roman" w:hAnsi="Arial" w:cs="Arial"/>
                <w:color w:val="0000FF"/>
                <w:sz w:val="18"/>
                <w:szCs w:val="18"/>
                <w:highlight w:val="yellow"/>
                <w:lang w:val="en-US" w:eastAsia="en-SE"/>
              </w:rPr>
              <w:t xml:space="preserve">the CE Mode and whether Single-TB grant or Multi-TB grant </w:t>
            </w:r>
            <w:r w:rsidR="003A15D5" w:rsidRPr="007E227C">
              <w:rPr>
                <w:rFonts w:ascii="Arial" w:eastAsia="Times New Roman" w:hAnsi="Arial" w:cs="Arial"/>
                <w:color w:val="0000FF"/>
                <w:sz w:val="18"/>
                <w:szCs w:val="18"/>
                <w:highlight w:val="yellow"/>
                <w:lang w:val="en-US" w:eastAsia="en-SE"/>
              </w:rPr>
              <w:t>is</w:t>
            </w:r>
            <w:r w:rsidR="00F96EA0" w:rsidRPr="007E227C">
              <w:rPr>
                <w:rFonts w:ascii="Arial" w:eastAsia="Times New Roman" w:hAnsi="Arial" w:cs="Arial"/>
                <w:color w:val="0000FF"/>
                <w:sz w:val="18"/>
                <w:szCs w:val="18"/>
                <w:highlight w:val="yellow"/>
                <w:lang w:val="en-US" w:eastAsia="en-SE"/>
              </w:rPr>
              <w:t xml:space="preserve"> configured</w:t>
            </w:r>
            <w:bookmarkEnd w:id="27"/>
            <w:r w:rsidR="00F96EA0" w:rsidRPr="007E227C">
              <w:rPr>
                <w:rFonts w:ascii="Arial" w:eastAsia="Times New Roman" w:hAnsi="Arial" w:cs="Arial"/>
                <w:color w:val="0000FF"/>
                <w:sz w:val="18"/>
                <w:szCs w:val="18"/>
                <w:highlight w:val="yellow"/>
                <w:lang w:val="en-US" w:eastAsia="en-SE"/>
              </w:rPr>
              <w:t>.</w:t>
            </w:r>
          </w:p>
        </w:tc>
      </w:tr>
    </w:tbl>
    <w:p w14:paraId="1AFE77FB" w14:textId="71FA1A3E" w:rsidR="0051440C" w:rsidRDefault="0051440C" w:rsidP="0051440C"/>
    <w:p w14:paraId="59F80C20" w14:textId="572BF7AE" w:rsidR="0042086B" w:rsidRDefault="0042086B" w:rsidP="0042086B">
      <w:pPr>
        <w:pStyle w:val="Proposal"/>
      </w:pPr>
      <w:bookmarkStart w:id="28" w:name="_Toc142381824"/>
      <w:r>
        <w:t xml:space="preserve">For </w:t>
      </w:r>
      <w:r w:rsidR="00E22F50">
        <w:t xml:space="preserve">the </w:t>
      </w:r>
      <w:r w:rsidRPr="0042086B">
        <w:t>Higher Layer Parameter list</w:t>
      </w:r>
      <w:r>
        <w:t>, the “Value range” associated to the bitmap</w:t>
      </w:r>
      <w:r w:rsidR="003A15D5">
        <w:t xml:space="preserve">-based solution </w:t>
      </w:r>
      <w:r>
        <w:t xml:space="preserve">for LTE-MTC </w:t>
      </w:r>
      <w:r w:rsidR="003A15D5">
        <w:t>is updated to reflect that the</w:t>
      </w:r>
      <w:r>
        <w:t xml:space="preserve"> length of the bitmap depends on </w:t>
      </w:r>
      <w:r w:rsidRPr="00DD5AEA">
        <w:t>the CE Mode and whether Single-TB grant or Multi</w:t>
      </w:r>
      <w:r>
        <w:t>-</w:t>
      </w:r>
      <w:r w:rsidRPr="00DD5AEA">
        <w:t xml:space="preserve">TB grant </w:t>
      </w:r>
      <w:r w:rsidR="003A15D5">
        <w:t>is</w:t>
      </w:r>
      <w:r w:rsidRPr="00DD5AEA">
        <w:t xml:space="preserve"> configured</w:t>
      </w:r>
      <w:r>
        <w:t>:</w:t>
      </w:r>
      <w:bookmarkEnd w:id="28"/>
    </w:p>
    <w:p w14:paraId="1C98BA68" w14:textId="21154481" w:rsidR="0042086B" w:rsidRDefault="0082360B" w:rsidP="0042086B">
      <w:pPr>
        <w:pStyle w:val="Proposal"/>
        <w:numPr>
          <w:ilvl w:val="0"/>
          <w:numId w:val="45"/>
        </w:numPr>
      </w:pPr>
      <w:bookmarkStart w:id="29" w:name="_Toc142381825"/>
      <w:r>
        <w:t>1</w:t>
      </w:r>
      <w:r w:rsidR="0042086B">
        <w:t>4-bits in CE Mode A for Single-TB grant</w:t>
      </w:r>
      <w:r w:rsidR="003A15D5">
        <w:t>.</w:t>
      </w:r>
      <w:bookmarkEnd w:id="29"/>
    </w:p>
    <w:p w14:paraId="2A33D5F1" w14:textId="6AF2EBF2" w:rsidR="0042086B" w:rsidRDefault="0082360B" w:rsidP="0042086B">
      <w:pPr>
        <w:pStyle w:val="Proposal"/>
        <w:numPr>
          <w:ilvl w:val="0"/>
          <w:numId w:val="45"/>
        </w:numPr>
      </w:pPr>
      <w:bookmarkStart w:id="30" w:name="_Toc142381826"/>
      <w:r>
        <w:t>2</w:t>
      </w:r>
      <w:r w:rsidR="0042086B">
        <w:t>-bit</w:t>
      </w:r>
      <w:r>
        <w:t>s</w:t>
      </w:r>
      <w:r w:rsidR="0042086B">
        <w:t xml:space="preserve"> in CE Mode B for Single-TB grant</w:t>
      </w:r>
      <w:r w:rsidR="003A15D5">
        <w:t>.</w:t>
      </w:r>
      <w:bookmarkEnd w:id="30"/>
    </w:p>
    <w:p w14:paraId="21A344D6" w14:textId="48C28EF3" w:rsidR="0042086B" w:rsidRDefault="0082360B" w:rsidP="0042086B">
      <w:pPr>
        <w:pStyle w:val="Proposal"/>
        <w:numPr>
          <w:ilvl w:val="0"/>
          <w:numId w:val="45"/>
        </w:numPr>
      </w:pPr>
      <w:bookmarkStart w:id="31" w:name="_Toc142381827"/>
      <w:r>
        <w:t>8</w:t>
      </w:r>
      <w:r w:rsidR="0042086B">
        <w:t>-bits in CE Mode A for Multi-TB grant</w:t>
      </w:r>
      <w:r w:rsidR="003A15D5">
        <w:t>.</w:t>
      </w:r>
      <w:bookmarkEnd w:id="31"/>
    </w:p>
    <w:p w14:paraId="22CDC066" w14:textId="4965A178" w:rsidR="00DD5AEA" w:rsidRDefault="0042086B" w:rsidP="0042086B">
      <w:pPr>
        <w:pStyle w:val="Proposal"/>
        <w:numPr>
          <w:ilvl w:val="0"/>
          <w:numId w:val="45"/>
        </w:numPr>
      </w:pPr>
      <w:bookmarkStart w:id="32" w:name="_Toc142381828"/>
      <w:r>
        <w:t>4-bits in CE Mode B for Multi-TB grant</w:t>
      </w:r>
      <w:r w:rsidR="003A15D5">
        <w:t>.</w:t>
      </w:r>
      <w:bookmarkEnd w:id="32"/>
    </w:p>
    <w:p w14:paraId="4D23C67A" w14:textId="708FFFC7" w:rsidR="00F96EA0" w:rsidRDefault="00F96EA0" w:rsidP="0051440C">
      <w:r>
        <w:t>NB-IoT:</w:t>
      </w:r>
    </w:p>
    <w:p w14:paraId="41FC2B32" w14:textId="4B44A0AD" w:rsidR="00E22F50" w:rsidRDefault="00E22F50" w:rsidP="00E22F50">
      <w:pPr>
        <w:pStyle w:val="Observation"/>
        <w:ind w:left="1701" w:hanging="1701"/>
      </w:pPr>
      <w:bookmarkStart w:id="33" w:name="_Toc142381809"/>
      <w:r>
        <w:t xml:space="preserve">For </w:t>
      </w:r>
      <w:r w:rsidRPr="0042086B">
        <w:t>Higher Layer Parameter list</w:t>
      </w:r>
      <w:r>
        <w:t>, the bitmap-based solution for NB-IoT has an “FFS” on the length of the bitmap. In our understanding, up to 2-HARQ processes are supported for both Single-TB grant and Multi-TB grant.</w:t>
      </w:r>
      <w:bookmarkEnd w:id="33"/>
    </w:p>
    <w:p w14:paraId="5F54598C" w14:textId="1EA3D04D" w:rsidR="00E22F50" w:rsidRDefault="00E22F50" w:rsidP="0051440C"/>
    <w:tbl>
      <w:tblPr>
        <w:tblW w:w="9629" w:type="dxa"/>
        <w:tblLook w:val="04A0" w:firstRow="1" w:lastRow="0" w:firstColumn="1" w:lastColumn="0" w:noHBand="0" w:noVBand="1"/>
      </w:tblPr>
      <w:tblGrid>
        <w:gridCol w:w="1407"/>
        <w:gridCol w:w="1268"/>
        <w:gridCol w:w="817"/>
        <w:gridCol w:w="1819"/>
        <w:gridCol w:w="921"/>
        <w:gridCol w:w="2000"/>
        <w:gridCol w:w="1397"/>
      </w:tblGrid>
      <w:tr w:rsidR="001F39FC" w:rsidRPr="0051440C" w14:paraId="0093680E" w14:textId="77777777" w:rsidTr="00F4616C">
        <w:trPr>
          <w:trHeight w:val="780"/>
        </w:trPr>
        <w:tc>
          <w:tcPr>
            <w:tcW w:w="1407"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FC3116D" w14:textId="77777777" w:rsidR="001F39FC" w:rsidRPr="0051440C" w:rsidRDefault="001F39FC" w:rsidP="00F4616C">
            <w:pPr>
              <w:overflowPunct/>
              <w:autoSpaceDE/>
              <w:autoSpaceDN/>
              <w:adjustRightInd/>
              <w:spacing w:after="0"/>
              <w:textAlignment w:val="auto"/>
              <w:rPr>
                <w:rFonts w:ascii="Arial" w:eastAsia="Times New Roman" w:hAnsi="Arial" w:cs="Arial"/>
                <w:b/>
                <w:bCs/>
                <w:color w:val="FFFFFF"/>
                <w:lang w:val="en-SE" w:eastAsia="en-SE"/>
              </w:rPr>
            </w:pPr>
            <w:r w:rsidRPr="0051440C">
              <w:rPr>
                <w:rFonts w:ascii="Arial" w:eastAsia="Times New Roman" w:hAnsi="Arial" w:cs="Arial"/>
                <w:b/>
                <w:bCs/>
                <w:color w:val="FFFFFF"/>
                <w:lang w:val="en-SE" w:eastAsia="en-SE"/>
              </w:rPr>
              <w:t>WI code</w:t>
            </w:r>
          </w:p>
        </w:tc>
        <w:tc>
          <w:tcPr>
            <w:tcW w:w="1268" w:type="dxa"/>
            <w:tcBorders>
              <w:top w:val="single" w:sz="4" w:space="0" w:color="auto"/>
              <w:left w:val="nil"/>
              <w:bottom w:val="single" w:sz="4" w:space="0" w:color="auto"/>
              <w:right w:val="single" w:sz="4" w:space="0" w:color="auto"/>
            </w:tcBorders>
            <w:shd w:val="clear" w:color="000000" w:fill="00B0F0"/>
            <w:vAlign w:val="center"/>
            <w:hideMark/>
          </w:tcPr>
          <w:p w14:paraId="39805A57" w14:textId="77777777" w:rsidR="001F39FC" w:rsidRPr="0051440C" w:rsidRDefault="001F39FC" w:rsidP="00F4616C">
            <w:pPr>
              <w:overflowPunct/>
              <w:autoSpaceDE/>
              <w:autoSpaceDN/>
              <w:adjustRightInd/>
              <w:spacing w:after="0"/>
              <w:textAlignment w:val="auto"/>
              <w:rPr>
                <w:rFonts w:ascii="Arial" w:eastAsia="Times New Roman" w:hAnsi="Arial" w:cs="Arial"/>
                <w:b/>
                <w:bCs/>
                <w:color w:val="FFFFFF"/>
                <w:lang w:val="en-SE" w:eastAsia="en-SE"/>
              </w:rPr>
            </w:pPr>
            <w:r w:rsidRPr="0051440C">
              <w:rPr>
                <w:rFonts w:ascii="Arial" w:eastAsia="Times New Roman" w:hAnsi="Arial" w:cs="Arial"/>
                <w:b/>
                <w:bCs/>
                <w:color w:val="FFFFFF"/>
                <w:lang w:val="en-SE" w:eastAsia="en-SE"/>
              </w:rPr>
              <w:t>Sub-feature group</w:t>
            </w:r>
          </w:p>
        </w:tc>
        <w:tc>
          <w:tcPr>
            <w:tcW w:w="817" w:type="dxa"/>
            <w:vMerge w:val="restart"/>
            <w:tcBorders>
              <w:top w:val="single" w:sz="4" w:space="0" w:color="auto"/>
              <w:left w:val="nil"/>
              <w:bottom w:val="single" w:sz="4" w:space="0" w:color="auto"/>
              <w:right w:val="single" w:sz="4" w:space="0" w:color="auto"/>
            </w:tcBorders>
            <w:shd w:val="clear" w:color="auto" w:fill="auto"/>
            <w:vAlign w:val="center"/>
            <w:hideMark/>
          </w:tcPr>
          <w:p w14:paraId="0C1689FC" w14:textId="77777777" w:rsidR="001F39FC" w:rsidRPr="0051440C" w:rsidRDefault="001F39FC" w:rsidP="00F4616C">
            <w:pPr>
              <w:spacing w:after="0"/>
              <w:jc w:val="center"/>
              <w:rPr>
                <w:rFonts w:ascii="Arial" w:eastAsia="Times New Roman" w:hAnsi="Arial" w:cs="Arial"/>
                <w:b/>
                <w:bCs/>
                <w:lang w:val="en-US" w:eastAsia="en-SE"/>
              </w:rPr>
            </w:pPr>
            <w:r w:rsidRPr="0051440C">
              <w:rPr>
                <w:rFonts w:ascii="Arial" w:eastAsia="Times New Roman" w:hAnsi="Arial" w:cs="Arial"/>
                <w:b/>
                <w:bCs/>
                <w:lang w:val="en-US" w:eastAsia="en-SE"/>
              </w:rPr>
              <w:t>…</w:t>
            </w:r>
          </w:p>
        </w:tc>
        <w:tc>
          <w:tcPr>
            <w:tcW w:w="1819" w:type="dxa"/>
            <w:tcBorders>
              <w:top w:val="single" w:sz="4" w:space="0" w:color="auto"/>
              <w:left w:val="nil"/>
              <w:bottom w:val="single" w:sz="4" w:space="0" w:color="auto"/>
              <w:right w:val="single" w:sz="4" w:space="0" w:color="auto"/>
            </w:tcBorders>
            <w:shd w:val="clear" w:color="000000" w:fill="00B0F0"/>
            <w:vAlign w:val="center"/>
            <w:hideMark/>
          </w:tcPr>
          <w:p w14:paraId="57B83BDF" w14:textId="77777777" w:rsidR="001F39FC" w:rsidRPr="0051440C" w:rsidRDefault="001F39FC" w:rsidP="00F4616C">
            <w:pPr>
              <w:overflowPunct/>
              <w:autoSpaceDE/>
              <w:autoSpaceDN/>
              <w:adjustRightInd/>
              <w:spacing w:after="0"/>
              <w:textAlignment w:val="auto"/>
              <w:rPr>
                <w:rFonts w:ascii="Arial" w:eastAsia="Times New Roman" w:hAnsi="Arial" w:cs="Arial"/>
                <w:b/>
                <w:bCs/>
                <w:color w:val="FFFFFF"/>
                <w:lang w:val="en-SE" w:eastAsia="en-SE"/>
              </w:rPr>
            </w:pPr>
            <w:r w:rsidRPr="0051440C">
              <w:rPr>
                <w:rFonts w:ascii="Arial" w:eastAsia="Times New Roman" w:hAnsi="Arial" w:cs="Arial"/>
                <w:b/>
                <w:bCs/>
                <w:color w:val="FFFFFF"/>
                <w:lang w:val="en-SE" w:eastAsia="en-SE"/>
              </w:rPr>
              <w:t>Parameter name in the text</w:t>
            </w:r>
          </w:p>
        </w:tc>
        <w:tc>
          <w:tcPr>
            <w:tcW w:w="921" w:type="dxa"/>
            <w:vMerge w:val="restart"/>
            <w:tcBorders>
              <w:top w:val="single" w:sz="4" w:space="0" w:color="auto"/>
              <w:left w:val="nil"/>
              <w:right w:val="single" w:sz="4" w:space="0" w:color="auto"/>
            </w:tcBorders>
            <w:shd w:val="clear" w:color="auto" w:fill="auto"/>
          </w:tcPr>
          <w:p w14:paraId="51DDC41C" w14:textId="77777777" w:rsidR="001F39FC" w:rsidRDefault="001F39FC" w:rsidP="00F4616C">
            <w:pPr>
              <w:overflowPunct/>
              <w:autoSpaceDE/>
              <w:autoSpaceDN/>
              <w:adjustRightInd/>
              <w:spacing w:after="0"/>
              <w:jc w:val="center"/>
              <w:textAlignment w:val="auto"/>
              <w:rPr>
                <w:rFonts w:ascii="Arial" w:eastAsia="Times New Roman" w:hAnsi="Arial" w:cs="Arial"/>
                <w:b/>
                <w:bCs/>
                <w:lang w:val="en-US" w:eastAsia="en-SE"/>
              </w:rPr>
            </w:pPr>
          </w:p>
          <w:p w14:paraId="43B947CE" w14:textId="77777777" w:rsidR="001F39FC" w:rsidRDefault="001F39FC" w:rsidP="00F4616C">
            <w:pPr>
              <w:overflowPunct/>
              <w:autoSpaceDE/>
              <w:autoSpaceDN/>
              <w:adjustRightInd/>
              <w:spacing w:after="0"/>
              <w:jc w:val="center"/>
              <w:textAlignment w:val="auto"/>
              <w:rPr>
                <w:rFonts w:ascii="Arial" w:eastAsia="Times New Roman" w:hAnsi="Arial" w:cs="Arial"/>
                <w:b/>
                <w:bCs/>
                <w:lang w:val="en-US" w:eastAsia="en-SE"/>
              </w:rPr>
            </w:pPr>
          </w:p>
          <w:p w14:paraId="36047750" w14:textId="77777777" w:rsidR="001F39FC" w:rsidRDefault="001F39FC" w:rsidP="00F4616C">
            <w:pPr>
              <w:overflowPunct/>
              <w:autoSpaceDE/>
              <w:autoSpaceDN/>
              <w:adjustRightInd/>
              <w:spacing w:after="0"/>
              <w:jc w:val="center"/>
              <w:textAlignment w:val="auto"/>
              <w:rPr>
                <w:rFonts w:ascii="Arial" w:eastAsia="Times New Roman" w:hAnsi="Arial" w:cs="Arial"/>
                <w:b/>
                <w:bCs/>
                <w:lang w:val="en-US" w:eastAsia="en-SE"/>
              </w:rPr>
            </w:pPr>
          </w:p>
          <w:p w14:paraId="64620ADB" w14:textId="77777777" w:rsidR="001F39FC" w:rsidRDefault="001F39FC" w:rsidP="00F4616C">
            <w:pPr>
              <w:overflowPunct/>
              <w:autoSpaceDE/>
              <w:autoSpaceDN/>
              <w:adjustRightInd/>
              <w:spacing w:after="0"/>
              <w:jc w:val="center"/>
              <w:textAlignment w:val="auto"/>
              <w:rPr>
                <w:rFonts w:ascii="Arial" w:eastAsia="Times New Roman" w:hAnsi="Arial" w:cs="Arial"/>
                <w:b/>
                <w:bCs/>
                <w:lang w:val="en-US" w:eastAsia="en-SE"/>
              </w:rPr>
            </w:pPr>
          </w:p>
          <w:p w14:paraId="204768C0" w14:textId="77777777" w:rsidR="001F39FC" w:rsidRDefault="001F39FC" w:rsidP="00F4616C">
            <w:pPr>
              <w:overflowPunct/>
              <w:autoSpaceDE/>
              <w:autoSpaceDN/>
              <w:adjustRightInd/>
              <w:spacing w:after="0"/>
              <w:jc w:val="center"/>
              <w:textAlignment w:val="auto"/>
              <w:rPr>
                <w:rFonts w:ascii="Arial" w:eastAsia="Times New Roman" w:hAnsi="Arial" w:cs="Arial"/>
                <w:b/>
                <w:bCs/>
                <w:lang w:val="en-US" w:eastAsia="en-SE"/>
              </w:rPr>
            </w:pPr>
          </w:p>
          <w:p w14:paraId="6E8A4485" w14:textId="77777777" w:rsidR="001F39FC" w:rsidRDefault="001F39FC" w:rsidP="00F4616C">
            <w:pPr>
              <w:overflowPunct/>
              <w:autoSpaceDE/>
              <w:autoSpaceDN/>
              <w:adjustRightInd/>
              <w:spacing w:after="0"/>
              <w:jc w:val="center"/>
              <w:textAlignment w:val="auto"/>
              <w:rPr>
                <w:rFonts w:ascii="Arial" w:eastAsia="Times New Roman" w:hAnsi="Arial" w:cs="Arial"/>
                <w:b/>
                <w:bCs/>
                <w:lang w:val="en-US" w:eastAsia="en-SE"/>
              </w:rPr>
            </w:pPr>
          </w:p>
          <w:p w14:paraId="49739A0D" w14:textId="77777777" w:rsidR="001F39FC" w:rsidRDefault="001F39FC" w:rsidP="00F4616C">
            <w:pPr>
              <w:overflowPunct/>
              <w:autoSpaceDE/>
              <w:autoSpaceDN/>
              <w:adjustRightInd/>
              <w:spacing w:after="0"/>
              <w:jc w:val="center"/>
              <w:textAlignment w:val="auto"/>
              <w:rPr>
                <w:rFonts w:ascii="Arial" w:eastAsia="Times New Roman" w:hAnsi="Arial" w:cs="Arial"/>
                <w:b/>
                <w:bCs/>
                <w:lang w:val="en-US" w:eastAsia="en-SE"/>
              </w:rPr>
            </w:pPr>
          </w:p>
          <w:p w14:paraId="72E9C8C0" w14:textId="77777777" w:rsidR="001F39FC" w:rsidRDefault="001F39FC" w:rsidP="00F4616C">
            <w:pPr>
              <w:overflowPunct/>
              <w:autoSpaceDE/>
              <w:autoSpaceDN/>
              <w:adjustRightInd/>
              <w:spacing w:after="0"/>
              <w:jc w:val="center"/>
              <w:textAlignment w:val="auto"/>
              <w:rPr>
                <w:rFonts w:ascii="Arial" w:eastAsia="Times New Roman" w:hAnsi="Arial" w:cs="Arial"/>
                <w:b/>
                <w:bCs/>
                <w:lang w:val="en-US" w:eastAsia="en-SE"/>
              </w:rPr>
            </w:pPr>
          </w:p>
          <w:p w14:paraId="0DC75A66" w14:textId="77777777" w:rsidR="001F39FC" w:rsidRDefault="001F39FC" w:rsidP="00F4616C">
            <w:pPr>
              <w:overflowPunct/>
              <w:autoSpaceDE/>
              <w:autoSpaceDN/>
              <w:adjustRightInd/>
              <w:spacing w:after="0"/>
              <w:jc w:val="center"/>
              <w:textAlignment w:val="auto"/>
              <w:rPr>
                <w:rFonts w:ascii="Arial" w:eastAsia="Times New Roman" w:hAnsi="Arial" w:cs="Arial"/>
                <w:b/>
                <w:bCs/>
                <w:lang w:val="en-US" w:eastAsia="en-SE"/>
              </w:rPr>
            </w:pPr>
          </w:p>
          <w:p w14:paraId="33E3BD38" w14:textId="77777777" w:rsidR="001F39FC" w:rsidRDefault="001F39FC" w:rsidP="00F4616C">
            <w:pPr>
              <w:overflowPunct/>
              <w:autoSpaceDE/>
              <w:autoSpaceDN/>
              <w:adjustRightInd/>
              <w:spacing w:after="0"/>
              <w:jc w:val="center"/>
              <w:textAlignment w:val="auto"/>
              <w:rPr>
                <w:rFonts w:ascii="Arial" w:eastAsia="Times New Roman" w:hAnsi="Arial" w:cs="Arial"/>
                <w:b/>
                <w:bCs/>
                <w:lang w:val="en-US" w:eastAsia="en-SE"/>
              </w:rPr>
            </w:pPr>
          </w:p>
          <w:p w14:paraId="42DECFBB" w14:textId="77777777" w:rsidR="001F39FC" w:rsidRPr="0051440C" w:rsidRDefault="001F39FC" w:rsidP="00F4616C">
            <w:pPr>
              <w:overflowPunct/>
              <w:autoSpaceDE/>
              <w:autoSpaceDN/>
              <w:adjustRightInd/>
              <w:spacing w:after="0"/>
              <w:jc w:val="center"/>
              <w:textAlignment w:val="auto"/>
              <w:rPr>
                <w:rFonts w:ascii="Arial" w:eastAsia="Times New Roman" w:hAnsi="Arial" w:cs="Arial"/>
                <w:b/>
                <w:bCs/>
                <w:color w:val="FFFFFF"/>
                <w:lang w:val="en-SE" w:eastAsia="en-SE"/>
              </w:rPr>
            </w:pPr>
            <w:r w:rsidRPr="0051440C">
              <w:rPr>
                <w:rFonts w:ascii="Arial" w:eastAsia="Times New Roman" w:hAnsi="Arial" w:cs="Arial"/>
                <w:b/>
                <w:bCs/>
                <w:lang w:val="en-US" w:eastAsia="en-SE"/>
              </w:rPr>
              <w:t>…</w:t>
            </w:r>
          </w:p>
        </w:tc>
        <w:tc>
          <w:tcPr>
            <w:tcW w:w="200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78D41039" w14:textId="77777777" w:rsidR="001F39FC" w:rsidRPr="0051440C" w:rsidRDefault="001F39FC" w:rsidP="00F4616C">
            <w:pPr>
              <w:overflowPunct/>
              <w:autoSpaceDE/>
              <w:autoSpaceDN/>
              <w:adjustRightInd/>
              <w:spacing w:after="0"/>
              <w:textAlignment w:val="auto"/>
              <w:rPr>
                <w:rFonts w:ascii="Arial" w:eastAsia="Times New Roman" w:hAnsi="Arial" w:cs="Arial"/>
                <w:b/>
                <w:bCs/>
                <w:color w:val="FFFFFF"/>
                <w:lang w:val="en-SE" w:eastAsia="en-SE"/>
              </w:rPr>
            </w:pPr>
            <w:r w:rsidRPr="0051440C">
              <w:rPr>
                <w:rFonts w:ascii="Arial" w:eastAsia="Times New Roman" w:hAnsi="Arial" w:cs="Arial"/>
                <w:b/>
                <w:bCs/>
                <w:color w:val="FFFFFF"/>
                <w:lang w:val="en-SE" w:eastAsia="en-SE"/>
              </w:rPr>
              <w:t>Value range</w:t>
            </w:r>
          </w:p>
        </w:tc>
        <w:tc>
          <w:tcPr>
            <w:tcW w:w="1397" w:type="dxa"/>
            <w:tcBorders>
              <w:top w:val="single" w:sz="4" w:space="0" w:color="auto"/>
              <w:left w:val="nil"/>
              <w:bottom w:val="single" w:sz="4" w:space="0" w:color="auto"/>
              <w:right w:val="single" w:sz="4" w:space="0" w:color="auto"/>
            </w:tcBorders>
            <w:shd w:val="clear" w:color="000000" w:fill="00B0F0"/>
            <w:vAlign w:val="center"/>
            <w:hideMark/>
          </w:tcPr>
          <w:p w14:paraId="7A7F4BFF" w14:textId="77777777" w:rsidR="001F39FC" w:rsidRPr="0051440C" w:rsidRDefault="001F39FC" w:rsidP="00F4616C">
            <w:pPr>
              <w:overflowPunct/>
              <w:autoSpaceDE/>
              <w:autoSpaceDN/>
              <w:adjustRightInd/>
              <w:spacing w:after="0"/>
              <w:textAlignment w:val="auto"/>
              <w:rPr>
                <w:rFonts w:ascii="Arial" w:eastAsia="Times New Roman" w:hAnsi="Arial" w:cs="Arial"/>
                <w:b/>
                <w:bCs/>
                <w:color w:val="FFFFFF"/>
                <w:lang w:val="en-SE" w:eastAsia="en-SE"/>
              </w:rPr>
            </w:pPr>
            <w:r w:rsidRPr="0051440C">
              <w:rPr>
                <w:rFonts w:ascii="Arial" w:eastAsia="Times New Roman" w:hAnsi="Arial" w:cs="Arial"/>
                <w:b/>
                <w:bCs/>
                <w:color w:val="FFFFFF"/>
                <w:lang w:val="en-SE" w:eastAsia="en-SE"/>
              </w:rPr>
              <w:t>Default value aspect</w:t>
            </w:r>
          </w:p>
        </w:tc>
      </w:tr>
      <w:tr w:rsidR="001F39FC" w:rsidRPr="0051440C" w14:paraId="781E1BEC" w14:textId="77777777" w:rsidTr="00F4616C">
        <w:trPr>
          <w:trHeight w:val="920"/>
        </w:trPr>
        <w:tc>
          <w:tcPr>
            <w:tcW w:w="1407" w:type="dxa"/>
            <w:tcBorders>
              <w:top w:val="nil"/>
              <w:left w:val="single" w:sz="4" w:space="0" w:color="auto"/>
              <w:bottom w:val="single" w:sz="4" w:space="0" w:color="auto"/>
              <w:right w:val="single" w:sz="4" w:space="0" w:color="auto"/>
            </w:tcBorders>
            <w:shd w:val="clear" w:color="auto" w:fill="auto"/>
            <w:vAlign w:val="center"/>
            <w:hideMark/>
          </w:tcPr>
          <w:p w14:paraId="320BA2A6" w14:textId="77777777" w:rsidR="001F39FC" w:rsidRPr="0051440C" w:rsidRDefault="001F39FC" w:rsidP="00F4616C">
            <w:pPr>
              <w:overflowPunct/>
              <w:autoSpaceDE/>
              <w:autoSpaceDN/>
              <w:adjustRightInd/>
              <w:spacing w:after="0"/>
              <w:textAlignment w:val="auto"/>
              <w:rPr>
                <w:rFonts w:ascii="Arial" w:eastAsia="Times New Roman" w:hAnsi="Arial" w:cs="Arial"/>
                <w:color w:val="0000FF"/>
                <w:sz w:val="18"/>
                <w:szCs w:val="18"/>
                <w:lang w:val="en-SE" w:eastAsia="en-SE"/>
              </w:rPr>
            </w:pPr>
            <w:r w:rsidRPr="0051440C">
              <w:rPr>
                <w:rFonts w:ascii="Arial" w:eastAsia="Times New Roman" w:hAnsi="Arial" w:cs="Arial"/>
                <w:color w:val="0000FF"/>
                <w:sz w:val="18"/>
                <w:szCs w:val="18"/>
                <w:lang w:val="en-SE" w:eastAsia="en-SE"/>
              </w:rPr>
              <w:t>IoT_NTN_enh-Core</w:t>
            </w:r>
          </w:p>
        </w:tc>
        <w:tc>
          <w:tcPr>
            <w:tcW w:w="1268" w:type="dxa"/>
            <w:tcBorders>
              <w:top w:val="nil"/>
              <w:left w:val="nil"/>
              <w:bottom w:val="single" w:sz="4" w:space="0" w:color="auto"/>
              <w:right w:val="single" w:sz="4" w:space="0" w:color="auto"/>
            </w:tcBorders>
            <w:shd w:val="clear" w:color="auto" w:fill="auto"/>
            <w:vAlign w:val="center"/>
            <w:hideMark/>
          </w:tcPr>
          <w:p w14:paraId="036B91AD" w14:textId="57D13FAF" w:rsidR="001F39FC" w:rsidRPr="0051440C" w:rsidRDefault="001F39FC" w:rsidP="00F4616C">
            <w:pPr>
              <w:overflowPunct/>
              <w:autoSpaceDE/>
              <w:autoSpaceDN/>
              <w:adjustRightInd/>
              <w:spacing w:after="0"/>
              <w:textAlignment w:val="auto"/>
              <w:rPr>
                <w:rFonts w:ascii="Arial" w:eastAsia="Times New Roman" w:hAnsi="Arial" w:cs="Arial"/>
                <w:color w:val="0000FF"/>
                <w:sz w:val="18"/>
                <w:szCs w:val="18"/>
                <w:lang w:val="en-US" w:eastAsia="en-SE"/>
              </w:rPr>
            </w:pPr>
            <w:r w:rsidRPr="0051440C">
              <w:rPr>
                <w:rFonts w:ascii="Arial" w:eastAsia="Times New Roman" w:hAnsi="Arial" w:cs="Arial"/>
                <w:color w:val="0000FF"/>
                <w:sz w:val="18"/>
                <w:szCs w:val="18"/>
                <w:lang w:val="en-SE" w:eastAsia="en-SE"/>
              </w:rPr>
              <w:t xml:space="preserve">HARQ feedback disabling for </w:t>
            </w:r>
            <w:r>
              <w:rPr>
                <w:rFonts w:ascii="Arial" w:eastAsia="Times New Roman" w:hAnsi="Arial" w:cs="Arial"/>
                <w:color w:val="0000FF"/>
                <w:sz w:val="18"/>
                <w:szCs w:val="18"/>
                <w:lang w:val="en-US" w:eastAsia="en-SE"/>
              </w:rPr>
              <w:t>NB-IoT</w:t>
            </w:r>
          </w:p>
        </w:tc>
        <w:tc>
          <w:tcPr>
            <w:tcW w:w="817" w:type="dxa"/>
            <w:vMerge/>
            <w:tcBorders>
              <w:left w:val="nil"/>
              <w:bottom w:val="single" w:sz="4" w:space="0" w:color="auto"/>
              <w:right w:val="single" w:sz="4" w:space="0" w:color="auto"/>
            </w:tcBorders>
            <w:shd w:val="clear" w:color="auto" w:fill="auto"/>
            <w:noWrap/>
            <w:vAlign w:val="center"/>
            <w:hideMark/>
          </w:tcPr>
          <w:p w14:paraId="50C050E2" w14:textId="77777777" w:rsidR="001F39FC" w:rsidRPr="0051440C" w:rsidRDefault="001F39FC" w:rsidP="00F4616C">
            <w:pPr>
              <w:overflowPunct/>
              <w:autoSpaceDE/>
              <w:autoSpaceDN/>
              <w:adjustRightInd/>
              <w:spacing w:after="0"/>
              <w:textAlignment w:val="auto"/>
              <w:rPr>
                <w:rFonts w:ascii="Arial" w:eastAsia="Times New Roman" w:hAnsi="Arial" w:cs="Arial"/>
                <w:color w:val="0000FF"/>
                <w:sz w:val="18"/>
                <w:szCs w:val="18"/>
                <w:lang w:val="en-SE" w:eastAsia="en-SE"/>
              </w:rPr>
            </w:pPr>
          </w:p>
        </w:tc>
        <w:tc>
          <w:tcPr>
            <w:tcW w:w="1819" w:type="dxa"/>
            <w:tcBorders>
              <w:top w:val="nil"/>
              <w:left w:val="nil"/>
              <w:bottom w:val="single" w:sz="4" w:space="0" w:color="auto"/>
              <w:right w:val="single" w:sz="4" w:space="0" w:color="auto"/>
            </w:tcBorders>
            <w:shd w:val="clear" w:color="auto" w:fill="auto"/>
            <w:vAlign w:val="center"/>
            <w:hideMark/>
          </w:tcPr>
          <w:p w14:paraId="7CEBC4AE" w14:textId="0EDB1F66" w:rsidR="001F39FC" w:rsidRPr="0051440C" w:rsidRDefault="001F39FC" w:rsidP="00F4616C">
            <w:pPr>
              <w:overflowPunct/>
              <w:autoSpaceDE/>
              <w:autoSpaceDN/>
              <w:adjustRightInd/>
              <w:spacing w:after="0"/>
              <w:textAlignment w:val="auto"/>
              <w:rPr>
                <w:rFonts w:ascii="Arial" w:eastAsia="Times New Roman" w:hAnsi="Arial" w:cs="Arial"/>
                <w:color w:val="0000FF"/>
                <w:sz w:val="18"/>
                <w:szCs w:val="18"/>
                <w:lang w:val="en-US" w:eastAsia="en-SE"/>
              </w:rPr>
            </w:pPr>
            <w:r w:rsidRPr="0051440C">
              <w:rPr>
                <w:rFonts w:ascii="Arial" w:eastAsia="Times New Roman" w:hAnsi="Arial" w:cs="Arial"/>
                <w:color w:val="0000FF"/>
                <w:sz w:val="18"/>
                <w:szCs w:val="18"/>
                <w:lang w:val="en-SE" w:eastAsia="en-SE"/>
              </w:rPr>
              <w:t>downlinkHARQ-FeedbackDisabled-Bitmap</w:t>
            </w:r>
            <w:r>
              <w:rPr>
                <w:rFonts w:ascii="Arial" w:eastAsia="Times New Roman" w:hAnsi="Arial" w:cs="Arial"/>
                <w:color w:val="0000FF"/>
                <w:sz w:val="18"/>
                <w:szCs w:val="18"/>
                <w:lang w:val="en-US" w:eastAsia="en-SE"/>
              </w:rPr>
              <w:t>-NB</w:t>
            </w:r>
          </w:p>
        </w:tc>
        <w:tc>
          <w:tcPr>
            <w:tcW w:w="921" w:type="dxa"/>
            <w:vMerge/>
            <w:tcBorders>
              <w:left w:val="nil"/>
              <w:bottom w:val="single" w:sz="4" w:space="0" w:color="auto"/>
              <w:right w:val="single" w:sz="4" w:space="0" w:color="auto"/>
            </w:tcBorders>
            <w:shd w:val="clear" w:color="auto" w:fill="auto"/>
          </w:tcPr>
          <w:p w14:paraId="7BE52FCF" w14:textId="77777777" w:rsidR="001F39FC" w:rsidRPr="0051440C" w:rsidRDefault="001F39FC" w:rsidP="00F4616C">
            <w:pPr>
              <w:overflowPunct/>
              <w:autoSpaceDE/>
              <w:autoSpaceDN/>
              <w:adjustRightInd/>
              <w:spacing w:after="0"/>
              <w:textAlignment w:val="auto"/>
              <w:rPr>
                <w:rFonts w:ascii="Arial" w:eastAsia="Times New Roman" w:hAnsi="Arial" w:cs="Arial"/>
                <w:color w:val="0000FF"/>
                <w:sz w:val="18"/>
                <w:szCs w:val="18"/>
                <w:lang w:val="en-SE" w:eastAsia="en-SE"/>
              </w:rPr>
            </w:pPr>
          </w:p>
        </w:tc>
        <w:tc>
          <w:tcPr>
            <w:tcW w:w="2000" w:type="dxa"/>
            <w:tcBorders>
              <w:top w:val="nil"/>
              <w:left w:val="single" w:sz="4" w:space="0" w:color="auto"/>
              <w:bottom w:val="single" w:sz="4" w:space="0" w:color="auto"/>
              <w:right w:val="single" w:sz="4" w:space="0" w:color="auto"/>
            </w:tcBorders>
            <w:shd w:val="clear" w:color="auto" w:fill="auto"/>
            <w:vAlign w:val="center"/>
            <w:hideMark/>
          </w:tcPr>
          <w:p w14:paraId="226807EB" w14:textId="77777777" w:rsidR="001F39FC" w:rsidRPr="007E227C" w:rsidRDefault="001F39FC" w:rsidP="00F4616C">
            <w:pPr>
              <w:overflowPunct/>
              <w:autoSpaceDE/>
              <w:autoSpaceDN/>
              <w:adjustRightInd/>
              <w:spacing w:after="0"/>
              <w:textAlignment w:val="auto"/>
              <w:rPr>
                <w:rFonts w:ascii="Arial" w:eastAsia="Times New Roman" w:hAnsi="Arial" w:cs="Arial"/>
                <w:color w:val="0000FF"/>
                <w:sz w:val="18"/>
                <w:szCs w:val="18"/>
                <w:highlight w:val="yellow"/>
                <w:lang w:val="en-SE" w:eastAsia="en-SE"/>
              </w:rPr>
            </w:pPr>
            <w:r w:rsidRPr="0051440C">
              <w:rPr>
                <w:rFonts w:ascii="Arial" w:eastAsia="Times New Roman" w:hAnsi="Arial" w:cs="Arial"/>
                <w:color w:val="0000FF"/>
                <w:sz w:val="18"/>
                <w:szCs w:val="18"/>
                <w:lang w:val="en-SE" w:eastAsia="en-SE"/>
              </w:rPr>
              <w:t xml:space="preserve">Bitmap </w:t>
            </w:r>
            <w:r w:rsidRPr="0051440C">
              <w:rPr>
                <w:rFonts w:ascii="Arial" w:eastAsia="Times New Roman" w:hAnsi="Arial" w:cs="Arial"/>
                <w:strike/>
                <w:color w:val="FF0000"/>
                <w:sz w:val="18"/>
                <w:szCs w:val="18"/>
                <w:highlight w:val="yellow"/>
                <w:lang w:val="en-SE" w:eastAsia="en-SE"/>
              </w:rPr>
              <w:t>[TBD length]</w:t>
            </w:r>
          </w:p>
          <w:p w14:paraId="35678850" w14:textId="4719A821" w:rsidR="001F39FC" w:rsidRPr="00F96EA0" w:rsidRDefault="0099688A" w:rsidP="001F39FC">
            <w:pPr>
              <w:pStyle w:val="ListParagraph"/>
              <w:numPr>
                <w:ilvl w:val="0"/>
                <w:numId w:val="44"/>
              </w:numPr>
              <w:overflowPunct/>
              <w:autoSpaceDE/>
              <w:autoSpaceDN/>
              <w:adjustRightInd/>
              <w:textAlignment w:val="auto"/>
              <w:rPr>
                <w:rFonts w:ascii="Arial" w:eastAsia="Times New Roman" w:hAnsi="Arial" w:cs="Arial"/>
                <w:color w:val="0000FF"/>
                <w:sz w:val="18"/>
                <w:szCs w:val="18"/>
                <w:lang w:val="en-SE" w:eastAsia="en-SE"/>
              </w:rPr>
            </w:pPr>
            <w:r>
              <w:rPr>
                <w:rFonts w:ascii="Arial" w:eastAsia="Times New Roman" w:hAnsi="Arial" w:cs="Arial"/>
                <w:color w:val="0000FF"/>
                <w:sz w:val="18"/>
                <w:szCs w:val="18"/>
                <w:highlight w:val="yellow"/>
                <w:lang w:val="en-US" w:eastAsia="en-SE"/>
              </w:rPr>
              <w:t>2</w:t>
            </w:r>
            <w:r w:rsidR="001F39FC" w:rsidRPr="007E227C">
              <w:rPr>
                <w:rFonts w:ascii="Arial" w:eastAsia="Times New Roman" w:hAnsi="Arial" w:cs="Arial"/>
                <w:color w:val="0000FF"/>
                <w:sz w:val="18"/>
                <w:szCs w:val="18"/>
                <w:highlight w:val="yellow"/>
                <w:lang w:val="en-US" w:eastAsia="en-SE"/>
              </w:rPr>
              <w:t>-bit</w:t>
            </w:r>
            <w:r>
              <w:rPr>
                <w:rFonts w:ascii="Arial" w:eastAsia="Times New Roman" w:hAnsi="Arial" w:cs="Arial"/>
                <w:color w:val="0000FF"/>
                <w:sz w:val="18"/>
                <w:szCs w:val="18"/>
                <w:highlight w:val="yellow"/>
                <w:lang w:val="en-US" w:eastAsia="en-SE"/>
              </w:rPr>
              <w:t>s</w:t>
            </w:r>
            <w:r w:rsidR="001F39FC" w:rsidRPr="007E227C">
              <w:rPr>
                <w:rFonts w:ascii="Arial" w:eastAsia="Times New Roman" w:hAnsi="Arial" w:cs="Arial"/>
                <w:color w:val="0000FF"/>
                <w:sz w:val="18"/>
                <w:szCs w:val="18"/>
                <w:highlight w:val="yellow"/>
                <w:lang w:val="en-US" w:eastAsia="en-SE"/>
              </w:rPr>
              <w:t xml:space="preserve"> </w:t>
            </w:r>
          </w:p>
        </w:tc>
        <w:tc>
          <w:tcPr>
            <w:tcW w:w="1397" w:type="dxa"/>
            <w:tcBorders>
              <w:top w:val="nil"/>
              <w:left w:val="nil"/>
              <w:bottom w:val="single" w:sz="4" w:space="0" w:color="auto"/>
              <w:right w:val="single" w:sz="4" w:space="0" w:color="auto"/>
            </w:tcBorders>
            <w:shd w:val="clear" w:color="auto" w:fill="auto"/>
            <w:noWrap/>
            <w:vAlign w:val="center"/>
            <w:hideMark/>
          </w:tcPr>
          <w:p w14:paraId="5FE53B3A" w14:textId="300F27E8" w:rsidR="001F39FC" w:rsidRPr="0051440C" w:rsidRDefault="001F39FC" w:rsidP="00F4616C">
            <w:pPr>
              <w:overflowPunct/>
              <w:autoSpaceDE/>
              <w:autoSpaceDN/>
              <w:adjustRightInd/>
              <w:spacing w:after="0"/>
              <w:textAlignment w:val="auto"/>
              <w:rPr>
                <w:rFonts w:ascii="Arial" w:eastAsia="Times New Roman" w:hAnsi="Arial" w:cs="Arial"/>
                <w:color w:val="0000FF"/>
                <w:sz w:val="18"/>
                <w:szCs w:val="18"/>
                <w:lang w:val="en-US" w:eastAsia="en-SE"/>
              </w:rPr>
            </w:pPr>
            <w:r w:rsidRPr="0051440C">
              <w:rPr>
                <w:rFonts w:ascii="Arial" w:eastAsia="Times New Roman" w:hAnsi="Arial" w:cs="Arial"/>
                <w:strike/>
                <w:color w:val="FF0000"/>
                <w:sz w:val="18"/>
                <w:szCs w:val="18"/>
                <w:highlight w:val="yellow"/>
                <w:lang w:val="en-SE" w:eastAsia="en-SE"/>
              </w:rPr>
              <w:t>FFS</w:t>
            </w:r>
          </w:p>
        </w:tc>
      </w:tr>
    </w:tbl>
    <w:p w14:paraId="0D7AEC2C" w14:textId="77777777" w:rsidR="001F39FC" w:rsidRDefault="001F39FC" w:rsidP="0051440C"/>
    <w:p w14:paraId="0266D9D7" w14:textId="68E38A24" w:rsidR="0099688A" w:rsidRDefault="0099688A" w:rsidP="0099688A">
      <w:pPr>
        <w:pStyle w:val="Proposal"/>
      </w:pPr>
      <w:bookmarkStart w:id="34" w:name="_Toc142381829"/>
      <w:r>
        <w:lastRenderedPageBreak/>
        <w:t xml:space="preserve">For the </w:t>
      </w:r>
      <w:r w:rsidRPr="0042086B">
        <w:t>Higher Layer Parameter list</w:t>
      </w:r>
      <w:r>
        <w:t>, the “Value range” associated to the bitmap-based solution for NB-IoT is updated to reflect that the length of the bitmap is 2-bits regardless of</w:t>
      </w:r>
      <w:r w:rsidRPr="00DD5AEA">
        <w:t xml:space="preserve"> whether Single-TB grant or Multi</w:t>
      </w:r>
      <w:r>
        <w:t>-</w:t>
      </w:r>
      <w:r w:rsidRPr="00DD5AEA">
        <w:t xml:space="preserve">TB grant </w:t>
      </w:r>
      <w:r>
        <w:t>is</w:t>
      </w:r>
      <w:r w:rsidRPr="00DD5AEA">
        <w:t xml:space="preserve"> configured</w:t>
      </w:r>
      <w:r>
        <w:t>:</w:t>
      </w:r>
      <w:bookmarkEnd w:id="34"/>
    </w:p>
    <w:p w14:paraId="50381E6F" w14:textId="29DD3C6A" w:rsidR="0051440C" w:rsidRPr="0051440C" w:rsidRDefault="0099688A" w:rsidP="0099688A">
      <w:pPr>
        <w:pStyle w:val="Proposal"/>
        <w:numPr>
          <w:ilvl w:val="0"/>
          <w:numId w:val="45"/>
        </w:numPr>
      </w:pPr>
      <w:bookmarkStart w:id="35" w:name="_Toc142381830"/>
      <w:r>
        <w:t>2-bits for Single-TB grant / Multi-TB grant.</w:t>
      </w:r>
      <w:bookmarkEnd w:id="35"/>
    </w:p>
    <w:p w14:paraId="5300F849" w14:textId="2CE1212B" w:rsidR="00C01F33" w:rsidRPr="00CE0424" w:rsidRDefault="0051440C" w:rsidP="00DF5DE2">
      <w:pPr>
        <w:pStyle w:val="Heading1"/>
      </w:pPr>
      <w:r>
        <w:t>6</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36" w:name="_In-sequence_SDU_delivery"/>
    <w:bookmarkEnd w:id="36"/>
    <w:p w14:paraId="49455F95" w14:textId="31DB9F66" w:rsidR="00982EA3" w:rsidRDefault="000C11D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2381801" w:history="1">
        <w:r w:rsidR="00982EA3" w:rsidRPr="00161177">
          <w:rPr>
            <w:rStyle w:val="Hyperlink"/>
            <w:noProof/>
          </w:rPr>
          <w:t>Observation 1</w:t>
        </w:r>
        <w:r w:rsidR="00982EA3">
          <w:rPr>
            <w:rFonts w:asciiTheme="minorHAnsi" w:eastAsiaTheme="minorEastAsia" w:hAnsiTheme="minorHAnsi" w:cstheme="minorBidi"/>
            <w:b w:val="0"/>
            <w:noProof/>
            <w:sz w:val="22"/>
            <w:szCs w:val="22"/>
            <w:lang w:val="en-SE" w:eastAsia="en-SE"/>
          </w:rPr>
          <w:tab/>
        </w:r>
        <w:r w:rsidR="00982EA3" w:rsidRPr="00161177">
          <w:rPr>
            <w:rStyle w:val="Hyperlink"/>
            <w:noProof/>
          </w:rPr>
          <w:t>When Multi-TB and the “DCI-based direct indication” solution are used together, the mixed enabling/disabling scenario never happens (please note that there is no bitmap thus HARQ feedback is enabled as per legacy, and yet the “DCI-based direct indication” to enable/disable the HARQ feedback applies to all scheduled TBs), thus if HARQ feedback is disabled no ACK/NACK should be reported since no PUCCH nor NPUSCH Format 2 will be transmitted. Moreover, since HARQ feedback will be either Enabled or Disabled, there won’t be an impact on “</w:t>
        </w:r>
        <w:r w:rsidR="00982EA3" w:rsidRPr="00161177">
          <w:rPr>
            <w:rStyle w:val="Hyperlink"/>
            <w:rFonts w:eastAsia="DengXian"/>
            <w:i/>
            <w:iCs/>
            <w:noProof/>
          </w:rPr>
          <w:t>harq-ACK-Bundling</w:t>
        </w:r>
        <w:r w:rsidR="00982EA3" w:rsidRPr="00161177">
          <w:rPr>
            <w:rStyle w:val="Hyperlink"/>
            <w:noProof/>
          </w:rPr>
          <w:t>”.</w:t>
        </w:r>
      </w:hyperlink>
    </w:p>
    <w:p w14:paraId="0570A489" w14:textId="0CC4CE2D" w:rsidR="00982EA3" w:rsidRDefault="00AB228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381802" w:history="1">
        <w:r w:rsidR="00982EA3" w:rsidRPr="00161177">
          <w:rPr>
            <w:rStyle w:val="Hyperlink"/>
            <w:noProof/>
          </w:rPr>
          <w:t>Observation 2</w:t>
        </w:r>
        <w:r w:rsidR="00982EA3">
          <w:rPr>
            <w:rFonts w:asciiTheme="minorHAnsi" w:eastAsiaTheme="minorEastAsia" w:hAnsiTheme="minorHAnsi" w:cstheme="minorBidi"/>
            <w:b w:val="0"/>
            <w:noProof/>
            <w:sz w:val="22"/>
            <w:szCs w:val="22"/>
            <w:lang w:val="en-SE" w:eastAsia="en-SE"/>
          </w:rPr>
          <w:tab/>
        </w:r>
        <w:r w:rsidR="00982EA3" w:rsidRPr="00161177">
          <w:rPr>
            <w:rStyle w:val="Hyperlink"/>
            <w:noProof/>
          </w:rPr>
          <w:t>When Multi-TB and the “DCI-based overriding indication” solution are used together, the mixed enabling/disabling scenario can happen depending on the bitmap’s configuration.</w:t>
        </w:r>
      </w:hyperlink>
    </w:p>
    <w:p w14:paraId="4D64C13C" w14:textId="5A1F69FE" w:rsidR="00982EA3" w:rsidRDefault="00AB228B" w:rsidP="00982EA3">
      <w:pPr>
        <w:pStyle w:val="TableofFigures"/>
        <w:tabs>
          <w:tab w:val="right" w:leader="dot" w:pos="9629"/>
        </w:tabs>
        <w:ind w:left="2127" w:hanging="426"/>
        <w:rPr>
          <w:rFonts w:asciiTheme="minorHAnsi" w:eastAsiaTheme="minorEastAsia" w:hAnsiTheme="minorHAnsi" w:cstheme="minorBidi"/>
          <w:b w:val="0"/>
          <w:noProof/>
          <w:sz w:val="22"/>
          <w:szCs w:val="22"/>
          <w:lang w:val="en-SE" w:eastAsia="en-SE"/>
        </w:rPr>
      </w:pPr>
      <w:hyperlink w:anchor="_Toc142381803" w:history="1">
        <w:r w:rsidR="00982EA3" w:rsidRPr="00161177">
          <w:rPr>
            <w:rStyle w:val="Hyperlink"/>
            <w:rFonts w:ascii="Symbol" w:hAnsi="Symbol"/>
            <w:noProof/>
          </w:rPr>
          <w:t></w:t>
        </w:r>
        <w:r w:rsidR="00982EA3">
          <w:rPr>
            <w:rFonts w:asciiTheme="minorHAnsi" w:eastAsiaTheme="minorEastAsia" w:hAnsiTheme="minorHAnsi" w:cstheme="minorBidi"/>
            <w:b w:val="0"/>
            <w:noProof/>
            <w:sz w:val="22"/>
            <w:szCs w:val="22"/>
            <w:lang w:val="en-SE" w:eastAsia="en-SE"/>
          </w:rPr>
          <w:tab/>
        </w:r>
        <w:r w:rsidR="00982EA3" w:rsidRPr="00161177">
          <w:rPr>
            <w:rStyle w:val="Hyperlink"/>
            <w:noProof/>
          </w:rPr>
          <w:t>If overriding indication as per the DCI-design under Working Assumption were applied to all scheduled TBs, then the mixture of enabled/disabled HARQ feedback would be revoked since the “DCI-based overriding indication” would turn the HARQ feedback for all scheduled TBs into either enabled or disabled.</w:t>
        </w:r>
      </w:hyperlink>
    </w:p>
    <w:p w14:paraId="548E6EC9" w14:textId="5121E45D" w:rsidR="00982EA3" w:rsidRDefault="00AB228B" w:rsidP="00982EA3">
      <w:pPr>
        <w:pStyle w:val="TableofFigures"/>
        <w:tabs>
          <w:tab w:val="right" w:leader="dot" w:pos="9629"/>
        </w:tabs>
        <w:ind w:firstLine="0"/>
        <w:rPr>
          <w:rFonts w:asciiTheme="minorHAnsi" w:eastAsiaTheme="minorEastAsia" w:hAnsiTheme="minorHAnsi" w:cstheme="minorBidi"/>
          <w:b w:val="0"/>
          <w:noProof/>
          <w:sz w:val="22"/>
          <w:szCs w:val="22"/>
          <w:lang w:val="en-SE" w:eastAsia="en-SE"/>
        </w:rPr>
      </w:pPr>
      <w:hyperlink w:anchor="_Toc142381805" w:history="1">
        <w:r w:rsidR="00982EA3" w:rsidRPr="00161177">
          <w:rPr>
            <w:rStyle w:val="Hyperlink"/>
            <w:noProof/>
          </w:rPr>
          <w:t>Aiming at finalizing the remaining details of this WI, the solution where the “DCI-based overriding indication” applies to all scheduled TBs is preferred. Moreover, since HARQ feedback will be either Enabled or Disabled, there won’t be an impact on “</w:t>
        </w:r>
        <w:r w:rsidR="00982EA3" w:rsidRPr="00161177">
          <w:rPr>
            <w:rStyle w:val="Hyperlink"/>
            <w:rFonts w:eastAsia="DengXian"/>
            <w:i/>
            <w:iCs/>
            <w:noProof/>
          </w:rPr>
          <w:t>harq-ACK-Bundling</w:t>
        </w:r>
        <w:r w:rsidR="00982EA3" w:rsidRPr="00161177">
          <w:rPr>
            <w:rStyle w:val="Hyperlink"/>
            <w:noProof/>
          </w:rPr>
          <w:t>”.</w:t>
        </w:r>
      </w:hyperlink>
    </w:p>
    <w:p w14:paraId="773CE9E9" w14:textId="0363AED9" w:rsidR="00982EA3" w:rsidRDefault="00AB228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381806" w:history="1">
        <w:r w:rsidR="00982EA3" w:rsidRPr="00161177">
          <w:rPr>
            <w:rStyle w:val="Hyperlink"/>
            <w:noProof/>
          </w:rPr>
          <w:t>Observation 3</w:t>
        </w:r>
        <w:r w:rsidR="00982EA3">
          <w:rPr>
            <w:rFonts w:asciiTheme="minorHAnsi" w:eastAsiaTheme="minorEastAsia" w:hAnsiTheme="minorHAnsi" w:cstheme="minorBidi"/>
            <w:b w:val="0"/>
            <w:noProof/>
            <w:sz w:val="22"/>
            <w:szCs w:val="22"/>
            <w:lang w:val="en-SE" w:eastAsia="en-SE"/>
          </w:rPr>
          <w:tab/>
        </w:r>
        <w:r w:rsidR="00982EA3" w:rsidRPr="00161177">
          <w:rPr>
            <w:rStyle w:val="Hyperlink"/>
            <w:noProof/>
          </w:rPr>
          <w:t>The “scheduling restriction for NB-IoT” endorsed in RAN1# 110-bis-e can handle a scenario where all HARQ processes have their HARQ feedback disabled. However, it cannot handle on its own more complex scenarios (i.e., “hybrid enabling/disabling scenario”).</w:t>
        </w:r>
      </w:hyperlink>
    </w:p>
    <w:p w14:paraId="76E68820" w14:textId="43B4FCB1" w:rsidR="00982EA3" w:rsidRDefault="00AB228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381807" w:history="1">
        <w:r w:rsidR="00982EA3" w:rsidRPr="00161177">
          <w:rPr>
            <w:rStyle w:val="Hyperlink"/>
            <w:noProof/>
          </w:rPr>
          <w:t>Observation 4</w:t>
        </w:r>
        <w:r w:rsidR="00982EA3">
          <w:rPr>
            <w:rFonts w:asciiTheme="minorHAnsi" w:eastAsiaTheme="minorEastAsia" w:hAnsiTheme="minorHAnsi" w:cstheme="minorBidi"/>
            <w:b w:val="0"/>
            <w:noProof/>
            <w:sz w:val="22"/>
            <w:szCs w:val="22"/>
            <w:lang w:val="en-SE" w:eastAsia="en-SE"/>
          </w:rPr>
          <w:tab/>
        </w:r>
        <w:r w:rsidR="00982EA3" w:rsidRPr="00161177">
          <w:rPr>
            <w:rStyle w:val="Hyperlink"/>
            <w:noProof/>
          </w:rPr>
          <w:t>For the Higher Layer Parameter list, the bitmap-based solution for LTE-MTC has an “FFS” on the length of the bitmap. On this matter, it is important to mention that length of the bitmap depends on the CE Mode and whether Single-TB grant or Multi-TB grant are configured.</w:t>
        </w:r>
      </w:hyperlink>
    </w:p>
    <w:p w14:paraId="050136D4" w14:textId="196D2DC8" w:rsidR="00982EA3" w:rsidRDefault="00AB228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381808" w:history="1">
        <w:r w:rsidR="00982EA3" w:rsidRPr="00161177">
          <w:rPr>
            <w:rStyle w:val="Hyperlink"/>
            <w:noProof/>
          </w:rPr>
          <w:t>Observation 5</w:t>
        </w:r>
        <w:r w:rsidR="00982EA3">
          <w:rPr>
            <w:rFonts w:asciiTheme="minorHAnsi" w:eastAsiaTheme="minorEastAsia" w:hAnsiTheme="minorHAnsi" w:cstheme="minorBidi"/>
            <w:b w:val="0"/>
            <w:noProof/>
            <w:sz w:val="22"/>
            <w:szCs w:val="22"/>
            <w:lang w:val="en-SE" w:eastAsia="en-SE"/>
          </w:rPr>
          <w:tab/>
        </w:r>
        <w:r w:rsidR="00982EA3" w:rsidRPr="00161177">
          <w:rPr>
            <w:rStyle w:val="Hyperlink"/>
            <w:noProof/>
          </w:rPr>
          <w:t>In relation with the previous observation, Single TB-grant supports up to 14-HARQ processes in CE Mode A and up to 2-HARQ processes in CE Mode B, whereas Multi TB-grant supports up to 8-HARQ processes in CE Mode A and up to 4-HARQ processes in CE Mode B).</w:t>
        </w:r>
      </w:hyperlink>
    </w:p>
    <w:p w14:paraId="1AA11898" w14:textId="75927DEC" w:rsidR="00982EA3" w:rsidRDefault="00AB228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381809" w:history="1">
        <w:r w:rsidR="00982EA3" w:rsidRPr="00161177">
          <w:rPr>
            <w:rStyle w:val="Hyperlink"/>
            <w:noProof/>
          </w:rPr>
          <w:t>Observation 6</w:t>
        </w:r>
        <w:r w:rsidR="00982EA3">
          <w:rPr>
            <w:rFonts w:asciiTheme="minorHAnsi" w:eastAsiaTheme="minorEastAsia" w:hAnsiTheme="minorHAnsi" w:cstheme="minorBidi"/>
            <w:b w:val="0"/>
            <w:noProof/>
            <w:sz w:val="22"/>
            <w:szCs w:val="22"/>
            <w:lang w:val="en-SE" w:eastAsia="en-SE"/>
          </w:rPr>
          <w:tab/>
        </w:r>
        <w:r w:rsidR="00982EA3" w:rsidRPr="00161177">
          <w:rPr>
            <w:rStyle w:val="Hyperlink"/>
            <w:noProof/>
          </w:rPr>
          <w:t>For Higher Layer Parameter list, the bitmap-based solution for NB-IoT has an “FFS” on the length of the bitmap. In our understanding, up to 2-HARQ processes are supported for both Single-TB grant and Multi-TB grant.</w:t>
        </w:r>
      </w:hyperlink>
    </w:p>
    <w:p w14:paraId="1326AAFE" w14:textId="31392DD3" w:rsidR="00F43A93" w:rsidRDefault="000C11D5" w:rsidP="000C11D5">
      <w:pPr>
        <w:pStyle w:val="BodyText"/>
        <w:rPr>
          <w:b/>
          <w:bCs/>
        </w:rPr>
      </w:pPr>
      <w:r>
        <w:rPr>
          <w:b/>
          <w:bCs/>
        </w:rPr>
        <w:fldChar w:fldCharType="end"/>
      </w:r>
      <w:r w:rsidR="00F43A93">
        <w:rPr>
          <w:b/>
          <w:bCs/>
        </w:rPr>
        <w:tab/>
      </w:r>
      <w:r w:rsidR="00F43A93">
        <w:rPr>
          <w:b/>
          <w:bCs/>
        </w:rPr>
        <w:tab/>
      </w:r>
      <w:r w:rsidR="00F43A93">
        <w:rPr>
          <w:b/>
          <w:bCs/>
        </w:rPr>
        <w:tab/>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249805C9" w14:textId="12F284F1" w:rsidR="00982EA3" w:rsidRDefault="000C11D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381810" w:history="1">
        <w:r w:rsidR="00982EA3" w:rsidRPr="00DC368F">
          <w:rPr>
            <w:rStyle w:val="Hyperlink"/>
            <w:noProof/>
          </w:rPr>
          <w:t>Proposal 1</w:t>
        </w:r>
        <w:r w:rsidR="00982EA3">
          <w:rPr>
            <w:rFonts w:asciiTheme="minorHAnsi" w:eastAsiaTheme="minorEastAsia" w:hAnsiTheme="minorHAnsi" w:cstheme="minorBidi"/>
            <w:b w:val="0"/>
            <w:noProof/>
            <w:sz w:val="22"/>
            <w:szCs w:val="22"/>
            <w:lang w:val="en-SE" w:eastAsia="en-SE"/>
          </w:rPr>
          <w:tab/>
        </w:r>
        <w:r w:rsidR="00982EA3" w:rsidRPr="00DC368F">
          <w:rPr>
            <w:rStyle w:val="Hyperlink"/>
            <w:noProof/>
          </w:rPr>
          <w:t>Confirm the WA for the “DCI-based direct indication” if the corresponding WA for the “DCI-based overriding indication” is also confirmed as to have a common DCI design for both DCI-based solutions.</w:t>
        </w:r>
      </w:hyperlink>
    </w:p>
    <w:p w14:paraId="7722C117" w14:textId="2442BCFB" w:rsidR="00982EA3" w:rsidRDefault="00AB228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381811" w:history="1">
        <w:r w:rsidR="00982EA3" w:rsidRPr="00DC368F">
          <w:rPr>
            <w:rStyle w:val="Hyperlink"/>
            <w:noProof/>
          </w:rPr>
          <w:t>Proposal 2</w:t>
        </w:r>
        <w:r w:rsidR="00982EA3">
          <w:rPr>
            <w:rFonts w:asciiTheme="minorHAnsi" w:eastAsiaTheme="minorEastAsia" w:hAnsiTheme="minorHAnsi" w:cstheme="minorBidi"/>
            <w:b w:val="0"/>
            <w:noProof/>
            <w:sz w:val="22"/>
            <w:szCs w:val="22"/>
            <w:lang w:val="en-SE" w:eastAsia="en-SE"/>
          </w:rPr>
          <w:tab/>
        </w:r>
        <w:r w:rsidR="00982EA3" w:rsidRPr="00DC368F">
          <w:rPr>
            <w:rStyle w:val="Hyperlink"/>
            <w:noProof/>
          </w:rPr>
          <w:t>For the “DCI-based direct indication” in NB-IoT, if the WA is confirmed, the last state in Table 16.4.2-1 (i.e., NPUSCH F2 with SCS = 3.75kHz) and in Table 16.4.2-2 (i.e., NPUSCH F2 with SCS = 15kHz) is respectively used to indicate HARQ feedback disabled.</w:t>
        </w:r>
      </w:hyperlink>
    </w:p>
    <w:p w14:paraId="0B567DBA" w14:textId="7A589932" w:rsidR="00982EA3" w:rsidRDefault="00AB228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381812" w:history="1">
        <w:r w:rsidR="00982EA3" w:rsidRPr="00DC368F">
          <w:rPr>
            <w:rStyle w:val="Hyperlink"/>
            <w:noProof/>
          </w:rPr>
          <w:t>Proposal 3</w:t>
        </w:r>
        <w:r w:rsidR="00982EA3">
          <w:rPr>
            <w:rFonts w:asciiTheme="minorHAnsi" w:eastAsiaTheme="minorEastAsia" w:hAnsiTheme="minorHAnsi" w:cstheme="minorBidi"/>
            <w:b w:val="0"/>
            <w:noProof/>
            <w:sz w:val="22"/>
            <w:szCs w:val="22"/>
            <w:lang w:val="en-SE" w:eastAsia="en-SE"/>
          </w:rPr>
          <w:tab/>
        </w:r>
        <w:r w:rsidR="00982EA3" w:rsidRPr="00DC368F">
          <w:rPr>
            <w:rStyle w:val="Hyperlink"/>
            <w:noProof/>
          </w:rPr>
          <w:t>For the “DCI-based direct indication” in LTE-MTC, if the WA is confirmed, the last state in Table 10.1.2.1-1 is used to indicate HARQ feedback disabled.</w:t>
        </w:r>
      </w:hyperlink>
    </w:p>
    <w:p w14:paraId="1022117B" w14:textId="195EAA93" w:rsidR="00982EA3" w:rsidRDefault="00AB228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381813" w:history="1">
        <w:r w:rsidR="00982EA3" w:rsidRPr="00DC368F">
          <w:rPr>
            <w:rStyle w:val="Hyperlink"/>
            <w:noProof/>
          </w:rPr>
          <w:t>Proposal 4</w:t>
        </w:r>
        <w:r w:rsidR="00982EA3">
          <w:rPr>
            <w:rFonts w:asciiTheme="minorHAnsi" w:eastAsiaTheme="minorEastAsia" w:hAnsiTheme="minorHAnsi" w:cstheme="minorBidi"/>
            <w:b w:val="0"/>
            <w:noProof/>
            <w:sz w:val="22"/>
            <w:szCs w:val="22"/>
            <w:lang w:val="en-SE" w:eastAsia="en-SE"/>
          </w:rPr>
          <w:tab/>
        </w:r>
        <w:r w:rsidR="00982EA3" w:rsidRPr="00DC368F">
          <w:rPr>
            <w:rStyle w:val="Hyperlink"/>
            <w:noProof/>
          </w:rPr>
          <w:t>Confirm the WAs for the “DCI-based overriding indication” if the corresponding WA for the “DCI-based direct indication” is also confirmed as to have a common DCI design for both DCI-based solutions.</w:t>
        </w:r>
      </w:hyperlink>
    </w:p>
    <w:p w14:paraId="0605450C" w14:textId="44266AEF" w:rsidR="00982EA3" w:rsidRDefault="00AB228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381814" w:history="1">
        <w:r w:rsidR="00982EA3" w:rsidRPr="00DC368F">
          <w:rPr>
            <w:rStyle w:val="Hyperlink"/>
            <w:noProof/>
          </w:rPr>
          <w:t>Proposal 5</w:t>
        </w:r>
        <w:r w:rsidR="00982EA3">
          <w:rPr>
            <w:rFonts w:asciiTheme="minorHAnsi" w:eastAsiaTheme="minorEastAsia" w:hAnsiTheme="minorHAnsi" w:cstheme="minorBidi"/>
            <w:b w:val="0"/>
            <w:noProof/>
            <w:sz w:val="22"/>
            <w:szCs w:val="22"/>
            <w:lang w:val="en-SE" w:eastAsia="en-SE"/>
          </w:rPr>
          <w:tab/>
        </w:r>
        <w:r w:rsidR="00982EA3" w:rsidRPr="00DC368F">
          <w:rPr>
            <w:rStyle w:val="Hyperlink"/>
            <w:noProof/>
          </w:rPr>
          <w:t>For the “DCI-based overriding indication” in NB-IoT, if the WAs are confirmed, the last state in Table 16.4.2-1 (i.e., NPUSCH F2 with SCS = 3.75kHz) and in Table 16.4.2-2 (i.e., NPUSCH F2 with SCS = 15kHz) is respectively used to indicate HARQ feedback disabled.</w:t>
        </w:r>
      </w:hyperlink>
    </w:p>
    <w:p w14:paraId="13369B07" w14:textId="2B21D46C" w:rsidR="00982EA3" w:rsidRDefault="00AB228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381815" w:history="1">
        <w:r w:rsidR="00982EA3" w:rsidRPr="00DC368F">
          <w:rPr>
            <w:rStyle w:val="Hyperlink"/>
            <w:noProof/>
          </w:rPr>
          <w:t>Proposal 6</w:t>
        </w:r>
        <w:r w:rsidR="00982EA3">
          <w:rPr>
            <w:rFonts w:asciiTheme="minorHAnsi" w:eastAsiaTheme="minorEastAsia" w:hAnsiTheme="minorHAnsi" w:cstheme="minorBidi"/>
            <w:b w:val="0"/>
            <w:noProof/>
            <w:sz w:val="22"/>
            <w:szCs w:val="22"/>
            <w:lang w:val="en-SE" w:eastAsia="en-SE"/>
          </w:rPr>
          <w:tab/>
        </w:r>
        <w:r w:rsidR="00982EA3" w:rsidRPr="00DC368F">
          <w:rPr>
            <w:rStyle w:val="Hyperlink"/>
            <w:noProof/>
          </w:rPr>
          <w:t>For the “DCI-based overriding indication” in NB-IoT, if the 2</w:t>
        </w:r>
        <w:r w:rsidR="00982EA3" w:rsidRPr="00DC368F">
          <w:rPr>
            <w:rStyle w:val="Hyperlink"/>
            <w:noProof/>
            <w:vertAlign w:val="superscript"/>
          </w:rPr>
          <w:t>nd</w:t>
        </w:r>
        <w:r w:rsidR="00982EA3" w:rsidRPr="00DC368F">
          <w:rPr>
            <w:rStyle w:val="Hyperlink"/>
            <w:noProof/>
          </w:rPr>
          <w:t xml:space="preserve"> WA is confirmed, then for a NB-IoT UE operating with one or two HARQ process, the minimum time between the end of the NPUSCH transmission and the start of NPDCCH monitoring is 1 ms.</w:t>
        </w:r>
      </w:hyperlink>
    </w:p>
    <w:p w14:paraId="30E621D4" w14:textId="4267F8BA" w:rsidR="00982EA3" w:rsidRDefault="00AB228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381816" w:history="1">
        <w:r w:rsidR="00982EA3" w:rsidRPr="00DC368F">
          <w:rPr>
            <w:rStyle w:val="Hyperlink"/>
            <w:noProof/>
          </w:rPr>
          <w:t>Proposal 7</w:t>
        </w:r>
        <w:r w:rsidR="00982EA3">
          <w:rPr>
            <w:rFonts w:asciiTheme="minorHAnsi" w:eastAsiaTheme="minorEastAsia" w:hAnsiTheme="minorHAnsi" w:cstheme="minorBidi"/>
            <w:b w:val="0"/>
            <w:noProof/>
            <w:sz w:val="22"/>
            <w:szCs w:val="22"/>
            <w:lang w:val="en-SE" w:eastAsia="en-SE"/>
          </w:rPr>
          <w:tab/>
        </w:r>
        <w:r w:rsidR="00982EA3" w:rsidRPr="00DC368F">
          <w:rPr>
            <w:rStyle w:val="Hyperlink"/>
            <w:noProof/>
          </w:rPr>
          <w:t>For the “DCI-based overriding indication” in LTE-MTC, if the WA is confirmed, the last state in Table 10.1.2.1-1 is used to indicate HARQ feedback disabled.</w:t>
        </w:r>
      </w:hyperlink>
    </w:p>
    <w:p w14:paraId="07AC8408" w14:textId="72E391A2" w:rsidR="00982EA3" w:rsidRDefault="00AB228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381817" w:history="1">
        <w:r w:rsidR="00982EA3" w:rsidRPr="00DC368F">
          <w:rPr>
            <w:rStyle w:val="Hyperlink"/>
            <w:noProof/>
          </w:rPr>
          <w:t>Proposal 8</w:t>
        </w:r>
        <w:r w:rsidR="00982EA3">
          <w:rPr>
            <w:rFonts w:asciiTheme="minorHAnsi" w:eastAsiaTheme="minorEastAsia" w:hAnsiTheme="minorHAnsi" w:cstheme="minorBidi"/>
            <w:b w:val="0"/>
            <w:noProof/>
            <w:sz w:val="22"/>
            <w:szCs w:val="22"/>
            <w:lang w:val="en-SE" w:eastAsia="en-SE"/>
          </w:rPr>
          <w:tab/>
        </w:r>
        <w:r w:rsidR="00982EA3" w:rsidRPr="00DC368F">
          <w:rPr>
            <w:rStyle w:val="Hyperlink"/>
            <w:noProof/>
          </w:rPr>
          <w:t xml:space="preserve">For NB-IoT (w/wo </w:t>
        </w:r>
        <w:r w:rsidR="00982EA3" w:rsidRPr="00DC368F">
          <w:rPr>
            <w:rStyle w:val="Hyperlink"/>
            <w:rFonts w:eastAsia="DengXian"/>
            <w:i/>
            <w:iCs/>
            <w:noProof/>
          </w:rPr>
          <w:t>harq-ACK-Bundling</w:t>
        </w:r>
        <w:r w:rsidR="00982EA3" w:rsidRPr="00DC368F">
          <w:rPr>
            <w:rStyle w:val="Hyperlink"/>
            <w:noProof/>
          </w:rPr>
          <w:t>) and LTE-MTC in CE ModeB using Multi-TB and “DCI-based direct indication,” where “</w:t>
        </w:r>
        <w:r w:rsidR="00982EA3" w:rsidRPr="00DC368F">
          <w:rPr>
            <w:rStyle w:val="Hyperlink"/>
            <w:i/>
            <w:iCs/>
            <w:noProof/>
          </w:rPr>
          <w:t>the same indication is applied to all scheduled TBs, i.e. HARQ is enabled or disabled for all TBs</w:t>
        </w:r>
        <w:r w:rsidR="00982EA3" w:rsidRPr="00DC368F">
          <w:rPr>
            <w:rStyle w:val="Hyperlink"/>
            <w:noProof/>
          </w:rPr>
          <w:t>” (i.e., there is no mixed enabling/disabling scenario), ACK/NACK is not reported if HARQ feedback is indicated as disabled.</w:t>
        </w:r>
      </w:hyperlink>
    </w:p>
    <w:p w14:paraId="0051DB5C" w14:textId="6231990C" w:rsidR="00982EA3" w:rsidRDefault="00AB228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381818" w:history="1">
        <w:r w:rsidR="00982EA3" w:rsidRPr="00DC368F">
          <w:rPr>
            <w:rStyle w:val="Hyperlink"/>
            <w:noProof/>
          </w:rPr>
          <w:t>Proposal 9</w:t>
        </w:r>
        <w:r w:rsidR="00982EA3">
          <w:rPr>
            <w:rFonts w:asciiTheme="minorHAnsi" w:eastAsiaTheme="minorEastAsia" w:hAnsiTheme="minorHAnsi" w:cstheme="minorBidi"/>
            <w:b w:val="0"/>
            <w:noProof/>
            <w:sz w:val="22"/>
            <w:szCs w:val="22"/>
            <w:lang w:val="en-SE" w:eastAsia="en-SE"/>
          </w:rPr>
          <w:tab/>
        </w:r>
        <w:r w:rsidR="00982EA3" w:rsidRPr="00DC368F">
          <w:rPr>
            <w:rStyle w:val="Hyperlink"/>
            <w:noProof/>
          </w:rPr>
          <w:t xml:space="preserve">For NB-IoT (w/wo </w:t>
        </w:r>
        <w:r w:rsidR="00982EA3" w:rsidRPr="00DC368F">
          <w:rPr>
            <w:rStyle w:val="Hyperlink"/>
            <w:rFonts w:eastAsia="DengXian"/>
            <w:i/>
            <w:iCs/>
            <w:noProof/>
          </w:rPr>
          <w:t>harq-ACK-Bundling</w:t>
        </w:r>
        <w:r w:rsidR="00982EA3" w:rsidRPr="00DC368F">
          <w:rPr>
            <w:rStyle w:val="Hyperlink"/>
            <w:noProof/>
          </w:rPr>
          <w:t>) and LTE-MTC in CE ModeB using Multi-TB and “DCI-based overriding indication,” the same indication is applied to all scheduled TBs, i.e., for all TBs, HARQ is enabled if any state other than the one associated to HARQ feedback disabled is selected, or disabled otherwise,” ACK/NACK is not reported if HARQ feedback is indicated as disabled.</w:t>
        </w:r>
      </w:hyperlink>
    </w:p>
    <w:p w14:paraId="5F591197" w14:textId="7A9A7D91" w:rsidR="00982EA3" w:rsidRDefault="00AB228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381819" w:history="1">
        <w:r w:rsidR="00982EA3" w:rsidRPr="00DC368F">
          <w:rPr>
            <w:rStyle w:val="Hyperlink"/>
            <w:noProof/>
          </w:rPr>
          <w:t>Proposal 10</w:t>
        </w:r>
        <w:r w:rsidR="00982EA3">
          <w:rPr>
            <w:rFonts w:asciiTheme="minorHAnsi" w:eastAsiaTheme="minorEastAsia" w:hAnsiTheme="minorHAnsi" w:cstheme="minorBidi"/>
            <w:b w:val="0"/>
            <w:noProof/>
            <w:sz w:val="22"/>
            <w:szCs w:val="22"/>
            <w:lang w:val="en-SE" w:eastAsia="en-SE"/>
          </w:rPr>
          <w:tab/>
        </w:r>
        <w:r w:rsidR="00982EA3" w:rsidRPr="00DC368F">
          <w:rPr>
            <w:rStyle w:val="Hyperlink"/>
            <w:noProof/>
          </w:rPr>
          <w:t xml:space="preserve">For NB-IoT (wo </w:t>
        </w:r>
        <w:r w:rsidR="00982EA3" w:rsidRPr="00DC368F">
          <w:rPr>
            <w:rStyle w:val="Hyperlink"/>
            <w:rFonts w:eastAsia="DengXian"/>
            <w:i/>
            <w:iCs/>
            <w:noProof/>
          </w:rPr>
          <w:t>harq-ACK-Bundling</w:t>
        </w:r>
        <w:r w:rsidR="00982EA3" w:rsidRPr="00DC368F">
          <w:rPr>
            <w:rStyle w:val="Hyperlink"/>
            <w:noProof/>
          </w:rPr>
          <w:t xml:space="preserve">), LTE-MTC in CE ModeA (wo </w:t>
        </w:r>
        <w:r w:rsidR="00982EA3" w:rsidRPr="00DC368F">
          <w:rPr>
            <w:rStyle w:val="Hyperlink"/>
            <w:rFonts w:eastAsia="DengXian"/>
            <w:i/>
            <w:iCs/>
            <w:noProof/>
          </w:rPr>
          <w:t>harq-ACK-Bundling</w:t>
        </w:r>
        <w:r w:rsidR="00982EA3" w:rsidRPr="00DC368F">
          <w:rPr>
            <w:rStyle w:val="Hyperlink"/>
            <w:noProof/>
          </w:rPr>
          <w:t>), and LTE-MTC in CE ModeB, when Multi-TB is used along with the “RRC-based-HARQfeedback-switching,” ACK/NACK is not reported if HARQ feedback is indicated as disabled.</w:t>
        </w:r>
      </w:hyperlink>
    </w:p>
    <w:p w14:paraId="7704BE65" w14:textId="30FAB790" w:rsidR="00982EA3" w:rsidRDefault="00AB228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381820" w:history="1">
        <w:r w:rsidR="00982EA3" w:rsidRPr="00DC368F">
          <w:rPr>
            <w:rStyle w:val="Hyperlink"/>
            <w:noProof/>
          </w:rPr>
          <w:t>Proposal 11</w:t>
        </w:r>
        <w:r w:rsidR="00982EA3">
          <w:rPr>
            <w:rFonts w:asciiTheme="minorHAnsi" w:eastAsiaTheme="minorEastAsia" w:hAnsiTheme="minorHAnsi" w:cstheme="minorBidi"/>
            <w:b w:val="0"/>
            <w:noProof/>
            <w:sz w:val="22"/>
            <w:szCs w:val="22"/>
            <w:lang w:val="en-SE" w:eastAsia="en-SE"/>
          </w:rPr>
          <w:tab/>
        </w:r>
        <w:r w:rsidR="00982EA3" w:rsidRPr="00DC368F">
          <w:rPr>
            <w:rStyle w:val="Hyperlink"/>
            <w:noProof/>
          </w:rPr>
          <w:t xml:space="preserve">For NB-IoT (w </w:t>
        </w:r>
        <w:r w:rsidR="00982EA3" w:rsidRPr="00DC368F">
          <w:rPr>
            <w:rStyle w:val="Hyperlink"/>
            <w:rFonts w:eastAsia="DengXian"/>
            <w:i/>
            <w:iCs/>
            <w:noProof/>
          </w:rPr>
          <w:t>harq-ACK-Bundling</w:t>
        </w:r>
        <w:r w:rsidR="00982EA3" w:rsidRPr="00DC368F">
          <w:rPr>
            <w:rStyle w:val="Hyperlink"/>
            <w:noProof/>
          </w:rPr>
          <w:t xml:space="preserve">), and LTE-MTC in CE ModeA (w </w:t>
        </w:r>
        <w:r w:rsidR="00982EA3" w:rsidRPr="00DC368F">
          <w:rPr>
            <w:rStyle w:val="Hyperlink"/>
            <w:rFonts w:eastAsia="DengXian"/>
            <w:i/>
            <w:iCs/>
            <w:noProof/>
          </w:rPr>
          <w:t>harq-ACK-Bundling</w:t>
        </w:r>
        <w:r w:rsidR="00982EA3" w:rsidRPr="00DC368F">
          <w:rPr>
            <w:rStyle w:val="Hyperlink"/>
            <w:noProof/>
          </w:rPr>
          <w:t>), when Multi-TB is used along with the “RRC-based-HARQfeedback-switching,” down-select between:</w:t>
        </w:r>
      </w:hyperlink>
    </w:p>
    <w:p w14:paraId="0C09308A" w14:textId="255CA2B4" w:rsidR="00982EA3" w:rsidRDefault="00AB228B" w:rsidP="00982EA3">
      <w:pPr>
        <w:pStyle w:val="TableofFigures"/>
        <w:tabs>
          <w:tab w:val="right" w:leader="dot" w:pos="9629"/>
        </w:tabs>
        <w:ind w:left="2127" w:hanging="426"/>
        <w:rPr>
          <w:rFonts w:asciiTheme="minorHAnsi" w:eastAsiaTheme="minorEastAsia" w:hAnsiTheme="minorHAnsi" w:cstheme="minorBidi"/>
          <w:b w:val="0"/>
          <w:noProof/>
          <w:sz w:val="22"/>
          <w:szCs w:val="22"/>
          <w:lang w:val="en-SE" w:eastAsia="en-SE"/>
        </w:rPr>
      </w:pPr>
      <w:hyperlink w:anchor="_Toc142381821" w:history="1">
        <w:r w:rsidR="00982EA3" w:rsidRPr="00DC368F">
          <w:rPr>
            <w:rStyle w:val="Hyperlink"/>
            <w:rFonts w:ascii="Symbol" w:hAnsi="Symbol"/>
            <w:noProof/>
          </w:rPr>
          <w:t></w:t>
        </w:r>
        <w:r w:rsidR="00982EA3">
          <w:rPr>
            <w:rFonts w:asciiTheme="minorHAnsi" w:eastAsiaTheme="minorEastAsia" w:hAnsiTheme="minorHAnsi" w:cstheme="minorBidi"/>
            <w:b w:val="0"/>
            <w:noProof/>
            <w:sz w:val="22"/>
            <w:szCs w:val="22"/>
            <w:lang w:val="en-SE" w:eastAsia="en-SE"/>
          </w:rPr>
          <w:tab/>
        </w:r>
        <w:r w:rsidR="00982EA3" w:rsidRPr="00DC368F">
          <w:rPr>
            <w:rStyle w:val="Hyperlink"/>
            <w:noProof/>
          </w:rPr>
          <w:t>Option 1: ACK is assumed/reported for the downlink transmission with HARQ process disabled regardless of decoding results of corresponding transmission.</w:t>
        </w:r>
      </w:hyperlink>
    </w:p>
    <w:p w14:paraId="5797DDBF" w14:textId="73D3A00D" w:rsidR="00982EA3" w:rsidRDefault="00AB228B" w:rsidP="00982EA3">
      <w:pPr>
        <w:pStyle w:val="TableofFigures"/>
        <w:tabs>
          <w:tab w:val="right" w:leader="dot" w:pos="9629"/>
        </w:tabs>
        <w:ind w:left="2127" w:hanging="426"/>
        <w:rPr>
          <w:rFonts w:asciiTheme="minorHAnsi" w:eastAsiaTheme="minorEastAsia" w:hAnsiTheme="minorHAnsi" w:cstheme="minorBidi"/>
          <w:b w:val="0"/>
          <w:noProof/>
          <w:sz w:val="22"/>
          <w:szCs w:val="22"/>
          <w:lang w:val="en-SE" w:eastAsia="en-SE"/>
        </w:rPr>
      </w:pPr>
      <w:hyperlink w:anchor="_Toc142381822" w:history="1">
        <w:r w:rsidR="00982EA3" w:rsidRPr="00DC368F">
          <w:rPr>
            <w:rStyle w:val="Hyperlink"/>
            <w:rFonts w:ascii="Symbol" w:hAnsi="Symbol"/>
            <w:noProof/>
          </w:rPr>
          <w:t></w:t>
        </w:r>
        <w:r w:rsidR="00982EA3">
          <w:rPr>
            <w:rFonts w:asciiTheme="minorHAnsi" w:eastAsiaTheme="minorEastAsia" w:hAnsiTheme="minorHAnsi" w:cstheme="minorBidi"/>
            <w:b w:val="0"/>
            <w:noProof/>
            <w:sz w:val="22"/>
            <w:szCs w:val="22"/>
            <w:lang w:val="en-SE" w:eastAsia="en-SE"/>
          </w:rPr>
          <w:tab/>
        </w:r>
        <w:r w:rsidR="00982EA3" w:rsidRPr="00DC368F">
          <w:rPr>
            <w:rStyle w:val="Hyperlink"/>
            <w:noProof/>
          </w:rPr>
          <w:t>Option 2: HARQ feedback is reported only for downlink transmission with HARQ process enabled (e.g., HARQ feedback is not reported for downlink transmission with HARQ process disabled).</w:t>
        </w:r>
      </w:hyperlink>
    </w:p>
    <w:p w14:paraId="7822CA64" w14:textId="32A28493" w:rsidR="00982EA3" w:rsidRDefault="00AB228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381823" w:history="1">
        <w:r w:rsidR="00982EA3" w:rsidRPr="00DC368F">
          <w:rPr>
            <w:rStyle w:val="Hyperlink"/>
            <w:noProof/>
          </w:rPr>
          <w:t>Proposal 12</w:t>
        </w:r>
        <w:r w:rsidR="00982EA3">
          <w:rPr>
            <w:rFonts w:asciiTheme="minorHAnsi" w:eastAsiaTheme="minorEastAsia" w:hAnsiTheme="minorHAnsi" w:cstheme="minorBidi"/>
            <w:b w:val="0"/>
            <w:noProof/>
            <w:sz w:val="22"/>
            <w:szCs w:val="22"/>
            <w:lang w:val="en-SE" w:eastAsia="en-SE"/>
          </w:rPr>
          <w:tab/>
        </w:r>
        <w:r w:rsidR="00982EA3" w:rsidRPr="00DC368F">
          <w:rPr>
            <w:rStyle w:val="Hyperlink"/>
            <w:noProof/>
          </w:rPr>
          <w:t>Conclusion: It is RAN1 understanding that in scenarios having HARQ processes with HARQ feedback enabled and disabled, the “scheduling restrictions for NB-IoT and LTE-MTC” are also applicable when combined with legacy procedures to avoid issues related with e.g., a simultaneous Transmission/Reception, or not having time to perform an UL-to-DL re-tunning.</w:t>
        </w:r>
      </w:hyperlink>
    </w:p>
    <w:p w14:paraId="69BB4EA5" w14:textId="5B5B3288" w:rsidR="00982EA3" w:rsidRDefault="00AB228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381824" w:history="1">
        <w:r w:rsidR="00982EA3" w:rsidRPr="00DC368F">
          <w:rPr>
            <w:rStyle w:val="Hyperlink"/>
            <w:noProof/>
          </w:rPr>
          <w:t>Proposal 13</w:t>
        </w:r>
        <w:r w:rsidR="00982EA3">
          <w:rPr>
            <w:rFonts w:asciiTheme="minorHAnsi" w:eastAsiaTheme="minorEastAsia" w:hAnsiTheme="minorHAnsi" w:cstheme="minorBidi"/>
            <w:b w:val="0"/>
            <w:noProof/>
            <w:sz w:val="22"/>
            <w:szCs w:val="22"/>
            <w:lang w:val="en-SE" w:eastAsia="en-SE"/>
          </w:rPr>
          <w:tab/>
        </w:r>
        <w:r w:rsidR="00982EA3" w:rsidRPr="00DC368F">
          <w:rPr>
            <w:rStyle w:val="Hyperlink"/>
            <w:noProof/>
          </w:rPr>
          <w:t>For the Higher Layer Parameter list, the “Value range” associated to the bitmap-based solution for LTE-MTC is updated to reflect that the length of the bitmap depends on the CE Mode and whether Single-TB grant or Multi-TB grant is configured:</w:t>
        </w:r>
      </w:hyperlink>
    </w:p>
    <w:p w14:paraId="51C4F492" w14:textId="4588245B" w:rsidR="00982EA3" w:rsidRDefault="00AB228B" w:rsidP="00982EA3">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42381825" w:history="1">
        <w:r w:rsidR="00982EA3" w:rsidRPr="00DC368F">
          <w:rPr>
            <w:rStyle w:val="Hyperlink"/>
            <w:rFonts w:ascii="Symbol" w:hAnsi="Symbol"/>
            <w:noProof/>
          </w:rPr>
          <w:t></w:t>
        </w:r>
        <w:r w:rsidR="00982EA3">
          <w:rPr>
            <w:rFonts w:asciiTheme="minorHAnsi" w:eastAsiaTheme="minorEastAsia" w:hAnsiTheme="minorHAnsi" w:cstheme="minorBidi"/>
            <w:b w:val="0"/>
            <w:noProof/>
            <w:sz w:val="22"/>
            <w:szCs w:val="22"/>
            <w:lang w:val="en-SE" w:eastAsia="en-SE"/>
          </w:rPr>
          <w:tab/>
        </w:r>
        <w:r w:rsidR="00982EA3" w:rsidRPr="00DC368F">
          <w:rPr>
            <w:rStyle w:val="Hyperlink"/>
            <w:noProof/>
          </w:rPr>
          <w:t>14-bits in CE Mode A for Single-TB grant.</w:t>
        </w:r>
      </w:hyperlink>
    </w:p>
    <w:p w14:paraId="0BE75CB5" w14:textId="5769C7D7" w:rsidR="00982EA3" w:rsidRDefault="00AB228B" w:rsidP="00982EA3">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42381826" w:history="1">
        <w:r w:rsidR="00982EA3" w:rsidRPr="00DC368F">
          <w:rPr>
            <w:rStyle w:val="Hyperlink"/>
            <w:rFonts w:ascii="Symbol" w:hAnsi="Symbol"/>
            <w:noProof/>
          </w:rPr>
          <w:t></w:t>
        </w:r>
        <w:r w:rsidR="00982EA3">
          <w:rPr>
            <w:rFonts w:asciiTheme="minorHAnsi" w:eastAsiaTheme="minorEastAsia" w:hAnsiTheme="minorHAnsi" w:cstheme="minorBidi"/>
            <w:b w:val="0"/>
            <w:noProof/>
            <w:sz w:val="22"/>
            <w:szCs w:val="22"/>
            <w:lang w:val="en-SE" w:eastAsia="en-SE"/>
          </w:rPr>
          <w:tab/>
        </w:r>
        <w:r w:rsidR="00982EA3" w:rsidRPr="00DC368F">
          <w:rPr>
            <w:rStyle w:val="Hyperlink"/>
            <w:noProof/>
          </w:rPr>
          <w:t>2-bits in CE Mode B for Single-TB grant.</w:t>
        </w:r>
      </w:hyperlink>
    </w:p>
    <w:p w14:paraId="45DC5329" w14:textId="5EC9592E" w:rsidR="00982EA3" w:rsidRDefault="00AB228B" w:rsidP="00982EA3">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42381827" w:history="1">
        <w:r w:rsidR="00982EA3" w:rsidRPr="00DC368F">
          <w:rPr>
            <w:rStyle w:val="Hyperlink"/>
            <w:rFonts w:ascii="Symbol" w:hAnsi="Symbol"/>
            <w:noProof/>
          </w:rPr>
          <w:t></w:t>
        </w:r>
        <w:r w:rsidR="00982EA3">
          <w:rPr>
            <w:rFonts w:asciiTheme="minorHAnsi" w:eastAsiaTheme="minorEastAsia" w:hAnsiTheme="minorHAnsi" w:cstheme="minorBidi"/>
            <w:b w:val="0"/>
            <w:noProof/>
            <w:sz w:val="22"/>
            <w:szCs w:val="22"/>
            <w:lang w:val="en-SE" w:eastAsia="en-SE"/>
          </w:rPr>
          <w:tab/>
        </w:r>
        <w:r w:rsidR="00982EA3" w:rsidRPr="00DC368F">
          <w:rPr>
            <w:rStyle w:val="Hyperlink"/>
            <w:noProof/>
          </w:rPr>
          <w:t>8-bits in CE Mode A for Multi-TB grant.</w:t>
        </w:r>
      </w:hyperlink>
    </w:p>
    <w:p w14:paraId="306F29B5" w14:textId="59567981" w:rsidR="00982EA3" w:rsidRDefault="00AB228B" w:rsidP="00982EA3">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42381828" w:history="1">
        <w:r w:rsidR="00982EA3" w:rsidRPr="00DC368F">
          <w:rPr>
            <w:rStyle w:val="Hyperlink"/>
            <w:rFonts w:ascii="Symbol" w:hAnsi="Symbol"/>
            <w:noProof/>
          </w:rPr>
          <w:t></w:t>
        </w:r>
        <w:r w:rsidR="00982EA3">
          <w:rPr>
            <w:rFonts w:asciiTheme="minorHAnsi" w:eastAsiaTheme="minorEastAsia" w:hAnsiTheme="minorHAnsi" w:cstheme="minorBidi"/>
            <w:b w:val="0"/>
            <w:noProof/>
            <w:sz w:val="22"/>
            <w:szCs w:val="22"/>
            <w:lang w:val="en-SE" w:eastAsia="en-SE"/>
          </w:rPr>
          <w:tab/>
        </w:r>
        <w:r w:rsidR="00982EA3" w:rsidRPr="00DC368F">
          <w:rPr>
            <w:rStyle w:val="Hyperlink"/>
            <w:noProof/>
          </w:rPr>
          <w:t>4-bits in CE Mode B for Multi-TB grant.</w:t>
        </w:r>
      </w:hyperlink>
    </w:p>
    <w:p w14:paraId="339FC81E" w14:textId="03BD95D6" w:rsidR="00982EA3" w:rsidRDefault="00AB228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381829" w:history="1">
        <w:r w:rsidR="00982EA3" w:rsidRPr="00DC368F">
          <w:rPr>
            <w:rStyle w:val="Hyperlink"/>
            <w:noProof/>
          </w:rPr>
          <w:t>Proposal 14</w:t>
        </w:r>
        <w:r w:rsidR="00982EA3">
          <w:rPr>
            <w:rFonts w:asciiTheme="minorHAnsi" w:eastAsiaTheme="minorEastAsia" w:hAnsiTheme="minorHAnsi" w:cstheme="minorBidi"/>
            <w:b w:val="0"/>
            <w:noProof/>
            <w:sz w:val="22"/>
            <w:szCs w:val="22"/>
            <w:lang w:val="en-SE" w:eastAsia="en-SE"/>
          </w:rPr>
          <w:tab/>
        </w:r>
        <w:r w:rsidR="00982EA3" w:rsidRPr="00DC368F">
          <w:rPr>
            <w:rStyle w:val="Hyperlink"/>
            <w:noProof/>
          </w:rPr>
          <w:t>For the Higher Layer Parameter list, the “Value range” associated to the bitmap-based solution for NB-IoT is updated to reflect that the length of the bitmap is 2-bits regardless of whether Single-TB grant or Multi-TB grant is configured:</w:t>
        </w:r>
      </w:hyperlink>
    </w:p>
    <w:p w14:paraId="13CCE5B1" w14:textId="32E1B377" w:rsidR="00982EA3" w:rsidRDefault="00AB228B" w:rsidP="00982EA3">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42381830" w:history="1">
        <w:r w:rsidR="00982EA3" w:rsidRPr="00DC368F">
          <w:rPr>
            <w:rStyle w:val="Hyperlink"/>
            <w:rFonts w:ascii="Symbol" w:hAnsi="Symbol"/>
            <w:noProof/>
          </w:rPr>
          <w:t></w:t>
        </w:r>
        <w:r w:rsidR="00982EA3">
          <w:rPr>
            <w:rFonts w:asciiTheme="minorHAnsi" w:eastAsiaTheme="minorEastAsia" w:hAnsiTheme="minorHAnsi" w:cstheme="minorBidi"/>
            <w:b w:val="0"/>
            <w:noProof/>
            <w:sz w:val="22"/>
            <w:szCs w:val="22"/>
            <w:lang w:val="en-SE" w:eastAsia="en-SE"/>
          </w:rPr>
          <w:tab/>
        </w:r>
        <w:r w:rsidR="00982EA3" w:rsidRPr="00DC368F">
          <w:rPr>
            <w:rStyle w:val="Hyperlink"/>
            <w:noProof/>
          </w:rPr>
          <w:t>2-bits for Single-TB grant / Multi-TB grant.</w:t>
        </w:r>
      </w:hyperlink>
    </w:p>
    <w:p w14:paraId="337FD414" w14:textId="36947305" w:rsidR="0052469A" w:rsidRPr="00136A93" w:rsidRDefault="000C11D5" w:rsidP="000C11D5">
      <w:pPr>
        <w:pStyle w:val="BodyText"/>
      </w:pPr>
      <w:r>
        <w:rPr>
          <w:b/>
          <w:bCs/>
          <w:lang w:val="en-US"/>
        </w:rPr>
        <w:fldChar w:fldCharType="end"/>
      </w:r>
    </w:p>
    <w:p w14:paraId="7203AEF7" w14:textId="7E90EAD0" w:rsidR="00F507D1" w:rsidRPr="00CE0424" w:rsidRDefault="00F507D1" w:rsidP="00CE0424">
      <w:pPr>
        <w:pStyle w:val="Heading1"/>
      </w:pPr>
      <w:r w:rsidRPr="00CE0424">
        <w:t>References</w:t>
      </w:r>
    </w:p>
    <w:bookmarkStart w:id="37" w:name="_Ref174151459"/>
    <w:bookmarkStart w:id="38" w:name="_Ref189809556"/>
    <w:bookmarkStart w:id="39" w:name="_Ref525824664"/>
    <w:bookmarkStart w:id="40" w:name="_Hlk4751152"/>
    <w:p w14:paraId="27014B43" w14:textId="4D333530" w:rsidR="00E732B3" w:rsidRPr="009463C4" w:rsidRDefault="00CF4F41" w:rsidP="00F22BD5">
      <w:pPr>
        <w:pStyle w:val="Reference"/>
        <w:rPr>
          <w:rFonts w:ascii="Times New Roman" w:hAnsi="Times New Roman"/>
        </w:rPr>
      </w:pPr>
      <w:r w:rsidRPr="009463C4">
        <w:rPr>
          <w:rFonts w:ascii="Times New Roman" w:hAnsi="Times New Roman"/>
        </w:rPr>
        <w:fldChar w:fldCharType="begin"/>
      </w:r>
      <w:r w:rsidR="00A61F0C" w:rsidRPr="009463C4">
        <w:rPr>
          <w:rFonts w:ascii="Times New Roman" w:hAnsi="Times New Roman"/>
        </w:rPr>
        <w:instrText>HYPERLINK "http://www.3gpp.org/ftp/TSG_RAN/TSG_RAN/TSGR_95e/Docs/RP-220939.zip"</w:instrText>
      </w:r>
      <w:r w:rsidRPr="009463C4">
        <w:rPr>
          <w:rFonts w:ascii="Times New Roman" w:hAnsi="Times New Roman"/>
        </w:rPr>
      </w:r>
      <w:r w:rsidRPr="009463C4">
        <w:rPr>
          <w:rFonts w:ascii="Times New Roman" w:hAnsi="Times New Roman"/>
        </w:rPr>
        <w:fldChar w:fldCharType="separate"/>
      </w:r>
      <w:r w:rsidRPr="009463C4">
        <w:rPr>
          <w:rStyle w:val="Hyperlink"/>
          <w:rFonts w:ascii="Times New Roman" w:hAnsi="Times New Roman"/>
        </w:rPr>
        <w:t>RP-2</w:t>
      </w:r>
      <w:r w:rsidR="00A61F0C" w:rsidRPr="009463C4">
        <w:rPr>
          <w:rStyle w:val="Hyperlink"/>
          <w:rFonts w:ascii="Times New Roman" w:hAnsi="Times New Roman"/>
        </w:rPr>
        <w:t>20939</w:t>
      </w:r>
      <w:r w:rsidRPr="009463C4">
        <w:rPr>
          <w:rFonts w:ascii="Times New Roman" w:hAnsi="Times New Roman"/>
        </w:rPr>
        <w:fldChar w:fldCharType="end"/>
      </w:r>
      <w:r w:rsidRPr="009463C4">
        <w:rPr>
          <w:rFonts w:ascii="Times New Roman" w:hAnsi="Times New Roman"/>
        </w:rPr>
        <w:t xml:space="preserve">, </w:t>
      </w:r>
      <w:r w:rsidR="004B4854" w:rsidRPr="009463C4">
        <w:rPr>
          <w:rFonts w:ascii="Times New Roman" w:hAnsi="Times New Roman"/>
        </w:rPr>
        <w:t>“</w:t>
      </w:r>
      <w:r w:rsidR="00A61F0C" w:rsidRPr="009463C4">
        <w:rPr>
          <w:rFonts w:ascii="Times New Roman" w:hAnsi="Times New Roman"/>
        </w:rPr>
        <w:t>WID on IoT NTN enhancements</w:t>
      </w:r>
      <w:r w:rsidR="004B4854" w:rsidRPr="009463C4">
        <w:rPr>
          <w:rFonts w:ascii="Times New Roman" w:hAnsi="Times New Roman"/>
        </w:rPr>
        <w:t>”</w:t>
      </w:r>
      <w:r w:rsidRPr="009463C4">
        <w:rPr>
          <w:rFonts w:ascii="Times New Roman" w:hAnsi="Times New Roman"/>
        </w:rPr>
        <w:t>, RAN #</w:t>
      </w:r>
      <w:r w:rsidR="00A61F0C" w:rsidRPr="009463C4">
        <w:rPr>
          <w:rFonts w:ascii="Times New Roman" w:hAnsi="Times New Roman"/>
        </w:rPr>
        <w:t>95</w:t>
      </w:r>
      <w:r w:rsidRPr="009463C4">
        <w:rPr>
          <w:rFonts w:ascii="Times New Roman" w:hAnsi="Times New Roman"/>
        </w:rPr>
        <w:t xml:space="preserve">e, Electronic Meeting, </w:t>
      </w:r>
      <w:r w:rsidR="00A61F0C" w:rsidRPr="009463C4">
        <w:rPr>
          <w:rFonts w:ascii="Times New Roman" w:hAnsi="Times New Roman"/>
        </w:rPr>
        <w:t>March</w:t>
      </w:r>
      <w:r w:rsidRPr="009463C4">
        <w:rPr>
          <w:rFonts w:ascii="Times New Roman" w:hAnsi="Times New Roman"/>
        </w:rPr>
        <w:t xml:space="preserve"> </w:t>
      </w:r>
      <w:r w:rsidR="00A61F0C" w:rsidRPr="009463C4">
        <w:rPr>
          <w:rFonts w:ascii="Times New Roman" w:hAnsi="Times New Roman"/>
        </w:rPr>
        <w:t>17</w:t>
      </w:r>
      <w:r w:rsidRPr="009463C4">
        <w:rPr>
          <w:rFonts w:ascii="Times New Roman" w:hAnsi="Times New Roman"/>
          <w:vertAlign w:val="superscript"/>
        </w:rPr>
        <w:t>th</w:t>
      </w:r>
      <w:r w:rsidR="004B4854" w:rsidRPr="009463C4">
        <w:rPr>
          <w:rFonts w:ascii="Times New Roman" w:hAnsi="Times New Roman"/>
          <w:vertAlign w:val="superscript"/>
        </w:rPr>
        <w:t xml:space="preserve"> </w:t>
      </w:r>
      <w:r w:rsidR="004B4854" w:rsidRPr="009463C4">
        <w:rPr>
          <w:rFonts w:ascii="Times New Roman" w:hAnsi="Times New Roman"/>
        </w:rPr>
        <w:t xml:space="preserve">– </w:t>
      </w:r>
      <w:r w:rsidR="00A61F0C" w:rsidRPr="009463C4">
        <w:rPr>
          <w:rFonts w:ascii="Times New Roman" w:hAnsi="Times New Roman"/>
        </w:rPr>
        <w:t>2</w:t>
      </w:r>
      <w:r w:rsidRPr="009463C4">
        <w:rPr>
          <w:rFonts w:ascii="Times New Roman" w:hAnsi="Times New Roman"/>
        </w:rPr>
        <w:t>3</w:t>
      </w:r>
      <w:r w:rsidRPr="009463C4">
        <w:rPr>
          <w:rFonts w:ascii="Times New Roman" w:hAnsi="Times New Roman"/>
          <w:vertAlign w:val="superscript"/>
        </w:rPr>
        <w:t>rd</w:t>
      </w:r>
      <w:r w:rsidRPr="009463C4">
        <w:rPr>
          <w:rFonts w:ascii="Times New Roman" w:hAnsi="Times New Roman"/>
        </w:rPr>
        <w:t>, 202</w:t>
      </w:r>
      <w:r w:rsidR="00A61F0C" w:rsidRPr="009463C4">
        <w:rPr>
          <w:rFonts w:ascii="Times New Roman" w:hAnsi="Times New Roman"/>
        </w:rPr>
        <w:t>2</w:t>
      </w:r>
      <w:r w:rsidRPr="009463C4">
        <w:rPr>
          <w:rFonts w:ascii="Times New Roman" w:hAnsi="Times New Roman"/>
        </w:rPr>
        <w:t>.</w:t>
      </w:r>
      <w:bookmarkEnd w:id="37"/>
      <w:bookmarkEnd w:id="38"/>
      <w:bookmarkEnd w:id="39"/>
      <w:bookmarkEnd w:id="40"/>
    </w:p>
    <w:p w14:paraId="408C5831" w14:textId="2AC3C6BB" w:rsidR="0032672E" w:rsidRDefault="0032672E" w:rsidP="0032672E">
      <w:pPr>
        <w:pStyle w:val="Reference"/>
        <w:rPr>
          <w:rFonts w:ascii="Times New Roman" w:hAnsi="Times New Roman"/>
        </w:rPr>
      </w:pPr>
      <w:r w:rsidRPr="009463C4">
        <w:rPr>
          <w:rFonts w:ascii="Times New Roman" w:hAnsi="Times New Roman"/>
        </w:rPr>
        <w:t>Chairman Notes RAN1#11</w:t>
      </w:r>
      <w:r w:rsidR="0003122B">
        <w:rPr>
          <w:rFonts w:ascii="Times New Roman" w:hAnsi="Times New Roman"/>
        </w:rPr>
        <w:t>3</w:t>
      </w:r>
      <w:r w:rsidR="00457E57">
        <w:rPr>
          <w:rFonts w:ascii="Times New Roman" w:hAnsi="Times New Roman"/>
        </w:rPr>
        <w:t>, AI</w:t>
      </w:r>
      <w:r w:rsidRPr="009463C4">
        <w:rPr>
          <w:rFonts w:ascii="Times New Roman" w:hAnsi="Times New Roman"/>
        </w:rPr>
        <w:t xml:space="preserve"> 9.</w:t>
      </w:r>
      <w:r w:rsidR="00457E57">
        <w:rPr>
          <w:rFonts w:ascii="Times New Roman" w:hAnsi="Times New Roman"/>
        </w:rPr>
        <w:t>9.3</w:t>
      </w:r>
      <w:r w:rsidRPr="009463C4">
        <w:rPr>
          <w:rFonts w:ascii="Times New Roman" w:hAnsi="Times New Roman"/>
        </w:rPr>
        <w:t xml:space="preserve">, </w:t>
      </w:r>
      <w:r w:rsidR="00457E57" w:rsidRPr="009463C4">
        <w:rPr>
          <w:rFonts w:ascii="Times New Roman" w:hAnsi="Times New Roman"/>
        </w:rPr>
        <w:t>RAN1 #11</w:t>
      </w:r>
      <w:r w:rsidR="0003122B">
        <w:rPr>
          <w:rFonts w:ascii="Times New Roman" w:hAnsi="Times New Roman"/>
        </w:rPr>
        <w:t>3</w:t>
      </w:r>
      <w:r w:rsidR="00457E57" w:rsidRPr="009463C4">
        <w:rPr>
          <w:rFonts w:ascii="Times New Roman" w:hAnsi="Times New Roman"/>
        </w:rPr>
        <w:t xml:space="preserve">, </w:t>
      </w:r>
      <w:r w:rsidR="0003122B" w:rsidRPr="0003122B">
        <w:rPr>
          <w:rFonts w:ascii="Times New Roman" w:hAnsi="Times New Roman"/>
        </w:rPr>
        <w:t>Incheon, Republic of Korea, May 22nd – 26th, 2023</w:t>
      </w:r>
      <w:r w:rsidRPr="009463C4">
        <w:rPr>
          <w:rFonts w:ascii="Times New Roman" w:hAnsi="Times New Roman"/>
        </w:rPr>
        <w:t>.</w:t>
      </w:r>
    </w:p>
    <w:p w14:paraId="0E4E9421" w14:textId="72153080" w:rsidR="0003122B" w:rsidRPr="009463C4" w:rsidRDefault="0003122B" w:rsidP="0032672E">
      <w:pPr>
        <w:pStyle w:val="Reference"/>
        <w:rPr>
          <w:rFonts w:ascii="Times New Roman" w:hAnsi="Times New Roman"/>
        </w:rPr>
      </w:pPr>
      <w:r>
        <w:rPr>
          <w:rFonts w:ascii="Times New Roman" w:hAnsi="Times New Roman"/>
        </w:rPr>
        <w:t>TS 36.213, “</w:t>
      </w:r>
      <w:r w:rsidRPr="0003122B">
        <w:rPr>
          <w:rFonts w:ascii="Times New Roman" w:hAnsi="Times New Roman"/>
        </w:rPr>
        <w:t>Evolved Universal Terrestrial Radio Access (E-UTRA); Physical layer procedures</w:t>
      </w:r>
      <w:r>
        <w:rPr>
          <w:rFonts w:ascii="Times New Roman" w:hAnsi="Times New Roman"/>
        </w:rPr>
        <w:t>,” v17.5.0.</w:t>
      </w:r>
    </w:p>
    <w:p w14:paraId="786DF507" w14:textId="69963910" w:rsidR="003D2B99" w:rsidRDefault="0003122B" w:rsidP="00955D63">
      <w:pPr>
        <w:pStyle w:val="Reference"/>
        <w:rPr>
          <w:rFonts w:ascii="Times New Roman" w:hAnsi="Times New Roman"/>
        </w:rPr>
      </w:pPr>
      <w:r w:rsidRPr="0003122B">
        <w:rPr>
          <w:rFonts w:ascii="Times New Roman" w:hAnsi="Times New Roman"/>
        </w:rPr>
        <w:t>R1-2306020</w:t>
      </w:r>
      <w:r w:rsidR="00703CA9" w:rsidRPr="009463C4">
        <w:rPr>
          <w:rFonts w:ascii="Times New Roman" w:hAnsi="Times New Roman"/>
        </w:rPr>
        <w:t>, “</w:t>
      </w:r>
      <w:r w:rsidR="00457E57" w:rsidRPr="00457E57">
        <w:rPr>
          <w:rFonts w:ascii="Times New Roman" w:hAnsi="Times New Roman"/>
        </w:rPr>
        <w:t>FLS#1 on disabling of HARQ feedback for IoT NTN</w:t>
      </w:r>
      <w:r w:rsidR="00703CA9" w:rsidRPr="009463C4">
        <w:rPr>
          <w:rFonts w:ascii="Times New Roman" w:hAnsi="Times New Roman"/>
        </w:rPr>
        <w:t xml:space="preserve">,” Moderator (Lenovo), </w:t>
      </w:r>
      <w:r w:rsidR="000C48EB" w:rsidRPr="009463C4">
        <w:rPr>
          <w:rFonts w:ascii="Times New Roman" w:hAnsi="Times New Roman"/>
        </w:rPr>
        <w:t>RAN1 #</w:t>
      </w:r>
      <w:r>
        <w:rPr>
          <w:rFonts w:ascii="Times New Roman" w:hAnsi="Times New Roman"/>
        </w:rPr>
        <w:t>113</w:t>
      </w:r>
      <w:r w:rsidR="000C48EB" w:rsidRPr="009463C4">
        <w:rPr>
          <w:rFonts w:ascii="Times New Roman" w:hAnsi="Times New Roman"/>
        </w:rPr>
        <w:t xml:space="preserve">, </w:t>
      </w:r>
      <w:r w:rsidRPr="0003122B">
        <w:rPr>
          <w:rFonts w:ascii="Times New Roman" w:hAnsi="Times New Roman"/>
        </w:rPr>
        <w:t>Incheon, Republic of Korea, May 22nd – 26th, 2023</w:t>
      </w:r>
      <w:r w:rsidR="000C48EB" w:rsidRPr="009463C4">
        <w:rPr>
          <w:rFonts w:ascii="Times New Roman" w:hAnsi="Times New Roman"/>
        </w:rPr>
        <w:t>.</w:t>
      </w:r>
      <w:bookmarkStart w:id="41" w:name="_6_Annex_1:"/>
      <w:bookmarkEnd w:id="41"/>
    </w:p>
    <w:sectPr w:rsidR="003D2B99" w:rsidSect="0051440C">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36AAF" w14:textId="77777777" w:rsidR="002F1A54" w:rsidRDefault="002F1A54">
      <w:r>
        <w:separator/>
      </w:r>
    </w:p>
  </w:endnote>
  <w:endnote w:type="continuationSeparator" w:id="0">
    <w:p w14:paraId="5AE959D6" w14:textId="77777777" w:rsidR="002F1A54" w:rsidRDefault="002F1A54">
      <w:r>
        <w:continuationSeparator/>
      </w:r>
    </w:p>
  </w:endnote>
  <w:endnote w:type="continuationNotice" w:id="1">
    <w:p w14:paraId="33736F1D" w14:textId="77777777" w:rsidR="002F1A54" w:rsidRDefault="002F1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F836D" w14:textId="77777777" w:rsidR="002F1A54" w:rsidRDefault="002F1A54">
      <w:r>
        <w:separator/>
      </w:r>
    </w:p>
  </w:footnote>
  <w:footnote w:type="continuationSeparator" w:id="0">
    <w:p w14:paraId="5628D0E5" w14:textId="77777777" w:rsidR="002F1A54" w:rsidRDefault="002F1A54">
      <w:r>
        <w:continuationSeparator/>
      </w:r>
    </w:p>
  </w:footnote>
  <w:footnote w:type="continuationNotice" w:id="1">
    <w:p w14:paraId="73A0EE67" w14:textId="77777777" w:rsidR="002F1A54" w:rsidRDefault="002F1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2D12E4A"/>
    <w:multiLevelType w:val="hybridMultilevel"/>
    <w:tmpl w:val="2738D5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5" w15:restartNumberingAfterBreak="0">
    <w:nsid w:val="194354B7"/>
    <w:multiLevelType w:val="hybridMultilevel"/>
    <w:tmpl w:val="5AF4D9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0"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1" w15:restartNumberingAfterBreak="0">
    <w:nsid w:val="263A2F90"/>
    <w:multiLevelType w:val="multilevel"/>
    <w:tmpl w:val="263A2F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CD64FF8"/>
    <w:multiLevelType w:val="hybridMultilevel"/>
    <w:tmpl w:val="3C84F614"/>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4"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0C23452"/>
    <w:multiLevelType w:val="hybridMultilevel"/>
    <w:tmpl w:val="D616B46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2"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2038F8"/>
    <w:multiLevelType w:val="hybridMultilevel"/>
    <w:tmpl w:val="709EC5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7"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D564FB"/>
    <w:multiLevelType w:val="multilevel"/>
    <w:tmpl w:val="53D564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B2C6D41"/>
    <w:multiLevelType w:val="hybridMultilevel"/>
    <w:tmpl w:val="3A78562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E8D029C"/>
    <w:multiLevelType w:val="hybridMultilevel"/>
    <w:tmpl w:val="B820413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3"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69B0FDC"/>
    <w:multiLevelType w:val="hybridMultilevel"/>
    <w:tmpl w:val="3B00CC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5723B7"/>
    <w:multiLevelType w:val="multilevel"/>
    <w:tmpl w:val="735723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7D5005A"/>
    <w:multiLevelType w:val="multilevel"/>
    <w:tmpl w:val="65CA90E8"/>
    <w:lvl w:ilvl="0">
      <w:start w:val="3"/>
      <w:numFmt w:val="decimal"/>
      <w:lvlText w:val="%1"/>
      <w:lvlJc w:val="left"/>
      <w:pPr>
        <w:ind w:left="592"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3"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685205597">
    <w:abstractNumId w:val="24"/>
  </w:num>
  <w:num w:numId="2" w16cid:durableId="1118790765">
    <w:abstractNumId w:val="18"/>
  </w:num>
  <w:num w:numId="3" w16cid:durableId="1689137301">
    <w:abstractNumId w:val="0"/>
  </w:num>
  <w:num w:numId="4" w16cid:durableId="1071344800">
    <w:abstractNumId w:val="27"/>
  </w:num>
  <w:num w:numId="5" w16cid:durableId="1434671129">
    <w:abstractNumId w:val="28"/>
  </w:num>
  <w:num w:numId="6" w16cid:durableId="1884755429">
    <w:abstractNumId w:val="31"/>
  </w:num>
  <w:num w:numId="7" w16cid:durableId="1009648021">
    <w:abstractNumId w:val="7"/>
  </w:num>
  <w:num w:numId="8" w16cid:durableId="937637647">
    <w:abstractNumId w:val="12"/>
  </w:num>
  <w:num w:numId="9" w16cid:durableId="849417896">
    <w:abstractNumId w:val="3"/>
  </w:num>
  <w:num w:numId="10" w16cid:durableId="1199389102">
    <w:abstractNumId w:val="40"/>
  </w:num>
  <w:num w:numId="11" w16cid:durableId="1019048365">
    <w:abstractNumId w:val="17"/>
  </w:num>
  <w:num w:numId="12" w16cid:durableId="35859111">
    <w:abstractNumId w:val="36"/>
  </w:num>
  <w:num w:numId="13" w16cid:durableId="570047084">
    <w:abstractNumId w:val="15"/>
  </w:num>
  <w:num w:numId="14" w16cid:durableId="513611605">
    <w:abstractNumId w:val="43"/>
  </w:num>
  <w:num w:numId="15" w16cid:durableId="642589295">
    <w:abstractNumId w:val="37"/>
  </w:num>
  <w:num w:numId="16" w16cid:durableId="1157650935">
    <w:abstractNumId w:val="23"/>
  </w:num>
  <w:num w:numId="17" w16cid:durableId="1336495255">
    <w:abstractNumId w:val="13"/>
  </w:num>
  <w:num w:numId="18" w16cid:durableId="739789979">
    <w:abstractNumId w:val="5"/>
  </w:num>
  <w:num w:numId="19" w16cid:durableId="478500919">
    <w:abstractNumId w:val="19"/>
  </w:num>
  <w:num w:numId="20" w16cid:durableId="1921481351">
    <w:abstractNumId w:val="21"/>
  </w:num>
  <w:num w:numId="21" w16cid:durableId="1928734619">
    <w:abstractNumId w:val="35"/>
  </w:num>
  <w:num w:numId="22" w16cid:durableId="314645982">
    <w:abstractNumId w:val="1"/>
  </w:num>
  <w:num w:numId="23" w16cid:durableId="142815955">
    <w:abstractNumId w:val="26"/>
  </w:num>
  <w:num w:numId="24" w16cid:durableId="2135320553">
    <w:abstractNumId w:val="39"/>
  </w:num>
  <w:num w:numId="25" w16cid:durableId="1620146151">
    <w:abstractNumId w:val="4"/>
  </w:num>
  <w:num w:numId="26" w16cid:durableId="967397272">
    <w:abstractNumId w:val="9"/>
  </w:num>
  <w:num w:numId="27" w16cid:durableId="1251699876">
    <w:abstractNumId w:val="10"/>
  </w:num>
  <w:num w:numId="28" w16cid:durableId="598875592">
    <w:abstractNumId w:val="8"/>
  </w:num>
  <w:num w:numId="29" w16cid:durableId="1481000615">
    <w:abstractNumId w:val="41"/>
  </w:num>
  <w:num w:numId="30" w16cid:durableId="733891528">
    <w:abstractNumId w:val="22"/>
  </w:num>
  <w:num w:numId="31" w16cid:durableId="114450908">
    <w:abstractNumId w:val="44"/>
  </w:num>
  <w:num w:numId="32" w16cid:durableId="165442432">
    <w:abstractNumId w:val="14"/>
  </w:num>
  <w:num w:numId="33" w16cid:durableId="1346126368">
    <w:abstractNumId w:val="33"/>
  </w:num>
  <w:num w:numId="34" w16cid:durableId="948780613">
    <w:abstractNumId w:val="38"/>
  </w:num>
  <w:num w:numId="35" w16cid:durableId="553471767">
    <w:abstractNumId w:val="11"/>
  </w:num>
  <w:num w:numId="36" w16cid:durableId="1565339483">
    <w:abstractNumId w:val="29"/>
  </w:num>
  <w:num w:numId="37" w16cid:durableId="89208202">
    <w:abstractNumId w:val="6"/>
  </w:num>
  <w:num w:numId="38" w16cid:durableId="1497066882">
    <w:abstractNumId w:val="34"/>
  </w:num>
  <w:num w:numId="39" w16cid:durableId="1720352283">
    <w:abstractNumId w:val="20"/>
  </w:num>
  <w:num w:numId="40" w16cid:durableId="1091243553">
    <w:abstractNumId w:val="16"/>
  </w:num>
  <w:num w:numId="41" w16cid:durableId="1548226409">
    <w:abstractNumId w:val="42"/>
  </w:num>
  <w:num w:numId="42" w16cid:durableId="1955399749">
    <w:abstractNumId w:val="2"/>
  </w:num>
  <w:num w:numId="43" w16cid:durableId="1652980616">
    <w:abstractNumId w:val="30"/>
  </w:num>
  <w:num w:numId="44" w16cid:durableId="261768348">
    <w:abstractNumId w:val="25"/>
  </w:num>
  <w:num w:numId="45" w16cid:durableId="143279180">
    <w:abstractNumId w:val="3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6AD5"/>
    <w:rsid w:val="00006D6A"/>
    <w:rsid w:val="00007205"/>
    <w:rsid w:val="000074A0"/>
    <w:rsid w:val="0000763D"/>
    <w:rsid w:val="00007730"/>
    <w:rsid w:val="000077C4"/>
    <w:rsid w:val="00007CDC"/>
    <w:rsid w:val="00007FC9"/>
    <w:rsid w:val="000104DF"/>
    <w:rsid w:val="00010ACC"/>
    <w:rsid w:val="00010DDA"/>
    <w:rsid w:val="00011354"/>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F6"/>
    <w:rsid w:val="00022F63"/>
    <w:rsid w:val="00023B42"/>
    <w:rsid w:val="000244BA"/>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30044"/>
    <w:rsid w:val="000303E9"/>
    <w:rsid w:val="0003122B"/>
    <w:rsid w:val="00031381"/>
    <w:rsid w:val="0003196B"/>
    <w:rsid w:val="0003199C"/>
    <w:rsid w:val="00031A57"/>
    <w:rsid w:val="00031FDA"/>
    <w:rsid w:val="000320CD"/>
    <w:rsid w:val="000325B8"/>
    <w:rsid w:val="00032BFE"/>
    <w:rsid w:val="00033494"/>
    <w:rsid w:val="0003396C"/>
    <w:rsid w:val="00034038"/>
    <w:rsid w:val="00034AFA"/>
    <w:rsid w:val="00034C15"/>
    <w:rsid w:val="00034F95"/>
    <w:rsid w:val="0003649D"/>
    <w:rsid w:val="00036668"/>
    <w:rsid w:val="00036BA1"/>
    <w:rsid w:val="00037C46"/>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BEE"/>
    <w:rsid w:val="0004744C"/>
    <w:rsid w:val="0004772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4A09"/>
    <w:rsid w:val="00054D6D"/>
    <w:rsid w:val="000550A6"/>
    <w:rsid w:val="0005606A"/>
    <w:rsid w:val="000561F5"/>
    <w:rsid w:val="00056D16"/>
    <w:rsid w:val="00057117"/>
    <w:rsid w:val="0005716B"/>
    <w:rsid w:val="0005735D"/>
    <w:rsid w:val="0005747E"/>
    <w:rsid w:val="000574BC"/>
    <w:rsid w:val="000575BE"/>
    <w:rsid w:val="00057E78"/>
    <w:rsid w:val="00060177"/>
    <w:rsid w:val="00061031"/>
    <w:rsid w:val="000616E7"/>
    <w:rsid w:val="00061729"/>
    <w:rsid w:val="00061D48"/>
    <w:rsid w:val="00061E07"/>
    <w:rsid w:val="000621B5"/>
    <w:rsid w:val="00062571"/>
    <w:rsid w:val="00062A13"/>
    <w:rsid w:val="00062CC6"/>
    <w:rsid w:val="00063341"/>
    <w:rsid w:val="0006420B"/>
    <w:rsid w:val="0006447C"/>
    <w:rsid w:val="0006487E"/>
    <w:rsid w:val="00064BCC"/>
    <w:rsid w:val="00064C25"/>
    <w:rsid w:val="0006527A"/>
    <w:rsid w:val="00065478"/>
    <w:rsid w:val="000656E1"/>
    <w:rsid w:val="00065BF6"/>
    <w:rsid w:val="00065D4C"/>
    <w:rsid w:val="00065E1A"/>
    <w:rsid w:val="000660D6"/>
    <w:rsid w:val="00066962"/>
    <w:rsid w:val="00066AEF"/>
    <w:rsid w:val="00066E6E"/>
    <w:rsid w:val="00066F44"/>
    <w:rsid w:val="00066FA8"/>
    <w:rsid w:val="00067293"/>
    <w:rsid w:val="000674A5"/>
    <w:rsid w:val="00067BEE"/>
    <w:rsid w:val="00067F7D"/>
    <w:rsid w:val="00070082"/>
    <w:rsid w:val="000717FB"/>
    <w:rsid w:val="0007183A"/>
    <w:rsid w:val="00071A30"/>
    <w:rsid w:val="00071E0C"/>
    <w:rsid w:val="00072262"/>
    <w:rsid w:val="00072581"/>
    <w:rsid w:val="0007335A"/>
    <w:rsid w:val="00073642"/>
    <w:rsid w:val="00073AE0"/>
    <w:rsid w:val="00073AF0"/>
    <w:rsid w:val="00073B41"/>
    <w:rsid w:val="00074015"/>
    <w:rsid w:val="000740AC"/>
    <w:rsid w:val="00074D2A"/>
    <w:rsid w:val="000757A0"/>
    <w:rsid w:val="00075D1D"/>
    <w:rsid w:val="00076502"/>
    <w:rsid w:val="0007673F"/>
    <w:rsid w:val="00076887"/>
    <w:rsid w:val="00077165"/>
    <w:rsid w:val="00077C49"/>
    <w:rsid w:val="00077D1D"/>
    <w:rsid w:val="00077E5F"/>
    <w:rsid w:val="00077F7E"/>
    <w:rsid w:val="0008036A"/>
    <w:rsid w:val="00080BB7"/>
    <w:rsid w:val="00081293"/>
    <w:rsid w:val="000815DB"/>
    <w:rsid w:val="0008197D"/>
    <w:rsid w:val="00081AE6"/>
    <w:rsid w:val="0008294A"/>
    <w:rsid w:val="000830B9"/>
    <w:rsid w:val="00083425"/>
    <w:rsid w:val="0008359E"/>
    <w:rsid w:val="0008369A"/>
    <w:rsid w:val="00083F22"/>
    <w:rsid w:val="00084943"/>
    <w:rsid w:val="00084C73"/>
    <w:rsid w:val="000851A1"/>
    <w:rsid w:val="000855DE"/>
    <w:rsid w:val="000855EB"/>
    <w:rsid w:val="00085B52"/>
    <w:rsid w:val="00085E3C"/>
    <w:rsid w:val="00086603"/>
    <w:rsid w:val="000866F2"/>
    <w:rsid w:val="00086BFA"/>
    <w:rsid w:val="000875D4"/>
    <w:rsid w:val="0009009F"/>
    <w:rsid w:val="00091362"/>
    <w:rsid w:val="00091557"/>
    <w:rsid w:val="000916AC"/>
    <w:rsid w:val="00091734"/>
    <w:rsid w:val="00091922"/>
    <w:rsid w:val="00091D94"/>
    <w:rsid w:val="000923A6"/>
    <w:rsid w:val="000924C1"/>
    <w:rsid w:val="000924F0"/>
    <w:rsid w:val="00092914"/>
    <w:rsid w:val="00092B61"/>
    <w:rsid w:val="00093474"/>
    <w:rsid w:val="0009366E"/>
    <w:rsid w:val="0009385E"/>
    <w:rsid w:val="00093C62"/>
    <w:rsid w:val="00093E60"/>
    <w:rsid w:val="00094203"/>
    <w:rsid w:val="000948AB"/>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B91"/>
    <w:rsid w:val="000A103E"/>
    <w:rsid w:val="000A112C"/>
    <w:rsid w:val="000A1278"/>
    <w:rsid w:val="000A1325"/>
    <w:rsid w:val="000A1B7B"/>
    <w:rsid w:val="000A2308"/>
    <w:rsid w:val="000A2362"/>
    <w:rsid w:val="000A29C4"/>
    <w:rsid w:val="000A34EB"/>
    <w:rsid w:val="000A37C1"/>
    <w:rsid w:val="000A386E"/>
    <w:rsid w:val="000A38B8"/>
    <w:rsid w:val="000A4286"/>
    <w:rsid w:val="000A43D1"/>
    <w:rsid w:val="000A4A2B"/>
    <w:rsid w:val="000A4F09"/>
    <w:rsid w:val="000A5300"/>
    <w:rsid w:val="000A56F2"/>
    <w:rsid w:val="000A5C3D"/>
    <w:rsid w:val="000A5C47"/>
    <w:rsid w:val="000A6554"/>
    <w:rsid w:val="000A6991"/>
    <w:rsid w:val="000A7325"/>
    <w:rsid w:val="000B0385"/>
    <w:rsid w:val="000B03D2"/>
    <w:rsid w:val="000B06B4"/>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B9"/>
    <w:rsid w:val="000B42D1"/>
    <w:rsid w:val="000B4AB9"/>
    <w:rsid w:val="000B5081"/>
    <w:rsid w:val="000B541D"/>
    <w:rsid w:val="000B5609"/>
    <w:rsid w:val="000B58C3"/>
    <w:rsid w:val="000B5A8C"/>
    <w:rsid w:val="000B5C85"/>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CEB"/>
    <w:rsid w:val="000C231E"/>
    <w:rsid w:val="000C27DF"/>
    <w:rsid w:val="000C2BC9"/>
    <w:rsid w:val="000C2D16"/>
    <w:rsid w:val="000C2E19"/>
    <w:rsid w:val="000C2F09"/>
    <w:rsid w:val="000C30A1"/>
    <w:rsid w:val="000C30D5"/>
    <w:rsid w:val="000C3B3D"/>
    <w:rsid w:val="000C3B5B"/>
    <w:rsid w:val="000C3DC0"/>
    <w:rsid w:val="000C48EB"/>
    <w:rsid w:val="000C49EB"/>
    <w:rsid w:val="000C4BD6"/>
    <w:rsid w:val="000C524E"/>
    <w:rsid w:val="000C55AB"/>
    <w:rsid w:val="000C5B63"/>
    <w:rsid w:val="000C6090"/>
    <w:rsid w:val="000C6122"/>
    <w:rsid w:val="000C654D"/>
    <w:rsid w:val="000C7C27"/>
    <w:rsid w:val="000D003E"/>
    <w:rsid w:val="000D0B2B"/>
    <w:rsid w:val="000D0C03"/>
    <w:rsid w:val="000D0D07"/>
    <w:rsid w:val="000D0ED1"/>
    <w:rsid w:val="000D20FD"/>
    <w:rsid w:val="000D2291"/>
    <w:rsid w:val="000D33D8"/>
    <w:rsid w:val="000D3743"/>
    <w:rsid w:val="000D3941"/>
    <w:rsid w:val="000D399C"/>
    <w:rsid w:val="000D3FB7"/>
    <w:rsid w:val="000D4797"/>
    <w:rsid w:val="000D4D41"/>
    <w:rsid w:val="000D57D8"/>
    <w:rsid w:val="000D6056"/>
    <w:rsid w:val="000D6E86"/>
    <w:rsid w:val="000D6FE6"/>
    <w:rsid w:val="000D722B"/>
    <w:rsid w:val="000D784F"/>
    <w:rsid w:val="000D7AF5"/>
    <w:rsid w:val="000D7D9B"/>
    <w:rsid w:val="000D7DBD"/>
    <w:rsid w:val="000E0527"/>
    <w:rsid w:val="000E0546"/>
    <w:rsid w:val="000E0D16"/>
    <w:rsid w:val="000E0D42"/>
    <w:rsid w:val="000E1304"/>
    <w:rsid w:val="000E1CEB"/>
    <w:rsid w:val="000E1E17"/>
    <w:rsid w:val="000E1E92"/>
    <w:rsid w:val="000E1FEC"/>
    <w:rsid w:val="000E232A"/>
    <w:rsid w:val="000E27D8"/>
    <w:rsid w:val="000E2BE6"/>
    <w:rsid w:val="000E30B2"/>
    <w:rsid w:val="000E30DA"/>
    <w:rsid w:val="000E37AA"/>
    <w:rsid w:val="000E3CB3"/>
    <w:rsid w:val="000E56CD"/>
    <w:rsid w:val="000E5FE1"/>
    <w:rsid w:val="000E66DE"/>
    <w:rsid w:val="000E719E"/>
    <w:rsid w:val="000E759E"/>
    <w:rsid w:val="000E7622"/>
    <w:rsid w:val="000E7687"/>
    <w:rsid w:val="000F01E5"/>
    <w:rsid w:val="000F020C"/>
    <w:rsid w:val="000F06D6"/>
    <w:rsid w:val="000F0858"/>
    <w:rsid w:val="000F0D0B"/>
    <w:rsid w:val="000F0EB1"/>
    <w:rsid w:val="000F1106"/>
    <w:rsid w:val="000F147C"/>
    <w:rsid w:val="000F183E"/>
    <w:rsid w:val="000F1932"/>
    <w:rsid w:val="000F1F52"/>
    <w:rsid w:val="000F2195"/>
    <w:rsid w:val="000F231D"/>
    <w:rsid w:val="000F29E9"/>
    <w:rsid w:val="000F2BC4"/>
    <w:rsid w:val="000F2DC7"/>
    <w:rsid w:val="000F2E09"/>
    <w:rsid w:val="000F311F"/>
    <w:rsid w:val="000F3624"/>
    <w:rsid w:val="000F36D6"/>
    <w:rsid w:val="000F3BE9"/>
    <w:rsid w:val="000F3F6C"/>
    <w:rsid w:val="000F41E4"/>
    <w:rsid w:val="000F46C9"/>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ABF"/>
    <w:rsid w:val="001023DE"/>
    <w:rsid w:val="00102E8B"/>
    <w:rsid w:val="00102FDD"/>
    <w:rsid w:val="0010304C"/>
    <w:rsid w:val="001035F6"/>
    <w:rsid w:val="0010374B"/>
    <w:rsid w:val="00103E73"/>
    <w:rsid w:val="00104053"/>
    <w:rsid w:val="001049DF"/>
    <w:rsid w:val="00104C31"/>
    <w:rsid w:val="00104DE1"/>
    <w:rsid w:val="0010522E"/>
    <w:rsid w:val="00105862"/>
    <w:rsid w:val="00105DB2"/>
    <w:rsid w:val="001060ED"/>
    <w:rsid w:val="001062FB"/>
    <w:rsid w:val="001063E6"/>
    <w:rsid w:val="00106987"/>
    <w:rsid w:val="00106AAA"/>
    <w:rsid w:val="00106E91"/>
    <w:rsid w:val="00106F5C"/>
    <w:rsid w:val="00110E2B"/>
    <w:rsid w:val="0011118D"/>
    <w:rsid w:val="001122D7"/>
    <w:rsid w:val="00113B38"/>
    <w:rsid w:val="00113B78"/>
    <w:rsid w:val="00113B8F"/>
    <w:rsid w:val="00113CC4"/>
    <w:rsid w:val="00113CF4"/>
    <w:rsid w:val="00113FA3"/>
    <w:rsid w:val="00114105"/>
    <w:rsid w:val="0011414E"/>
    <w:rsid w:val="00114152"/>
    <w:rsid w:val="0011449A"/>
    <w:rsid w:val="00114552"/>
    <w:rsid w:val="001145C3"/>
    <w:rsid w:val="00115075"/>
    <w:rsid w:val="0011518E"/>
    <w:rsid w:val="001151C3"/>
    <w:rsid w:val="001152B0"/>
    <w:rsid w:val="001153EA"/>
    <w:rsid w:val="00115643"/>
    <w:rsid w:val="00116082"/>
    <w:rsid w:val="00116133"/>
    <w:rsid w:val="001163E5"/>
    <w:rsid w:val="00116765"/>
    <w:rsid w:val="0011685A"/>
    <w:rsid w:val="00117053"/>
    <w:rsid w:val="001170AA"/>
    <w:rsid w:val="00117A78"/>
    <w:rsid w:val="001207A8"/>
    <w:rsid w:val="00120CB0"/>
    <w:rsid w:val="001215FE"/>
    <w:rsid w:val="001219F5"/>
    <w:rsid w:val="00121A20"/>
    <w:rsid w:val="00121B71"/>
    <w:rsid w:val="00122B34"/>
    <w:rsid w:val="00122DFF"/>
    <w:rsid w:val="00123045"/>
    <w:rsid w:val="001231D0"/>
    <w:rsid w:val="0012377F"/>
    <w:rsid w:val="00123941"/>
    <w:rsid w:val="00123B72"/>
    <w:rsid w:val="00123D66"/>
    <w:rsid w:val="00123F5C"/>
    <w:rsid w:val="00124314"/>
    <w:rsid w:val="00124488"/>
    <w:rsid w:val="001245F8"/>
    <w:rsid w:val="00124912"/>
    <w:rsid w:val="00125735"/>
    <w:rsid w:val="00125D7F"/>
    <w:rsid w:val="00125F31"/>
    <w:rsid w:val="00126B4A"/>
    <w:rsid w:val="00127085"/>
    <w:rsid w:val="00127888"/>
    <w:rsid w:val="00127913"/>
    <w:rsid w:val="00127D44"/>
    <w:rsid w:val="00130F05"/>
    <w:rsid w:val="00131110"/>
    <w:rsid w:val="001317D4"/>
    <w:rsid w:val="00131A8D"/>
    <w:rsid w:val="00131CAF"/>
    <w:rsid w:val="00131FE5"/>
    <w:rsid w:val="00132760"/>
    <w:rsid w:val="00132A47"/>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760"/>
    <w:rsid w:val="00136A93"/>
    <w:rsid w:val="00136E73"/>
    <w:rsid w:val="00137350"/>
    <w:rsid w:val="00137AB5"/>
    <w:rsid w:val="00137DA3"/>
    <w:rsid w:val="00137DED"/>
    <w:rsid w:val="00137F0B"/>
    <w:rsid w:val="00140CAC"/>
    <w:rsid w:val="001412D9"/>
    <w:rsid w:val="001413EA"/>
    <w:rsid w:val="001418F9"/>
    <w:rsid w:val="001422A3"/>
    <w:rsid w:val="00142589"/>
    <w:rsid w:val="001428CD"/>
    <w:rsid w:val="00143195"/>
    <w:rsid w:val="0014341A"/>
    <w:rsid w:val="001435B1"/>
    <w:rsid w:val="001438FE"/>
    <w:rsid w:val="001439C5"/>
    <w:rsid w:val="00144052"/>
    <w:rsid w:val="00144645"/>
    <w:rsid w:val="001448A8"/>
    <w:rsid w:val="001448CE"/>
    <w:rsid w:val="00144A48"/>
    <w:rsid w:val="00145507"/>
    <w:rsid w:val="001457B1"/>
    <w:rsid w:val="00145DD6"/>
    <w:rsid w:val="00145E4A"/>
    <w:rsid w:val="001463D4"/>
    <w:rsid w:val="001466FE"/>
    <w:rsid w:val="0014689E"/>
    <w:rsid w:val="00146DFA"/>
    <w:rsid w:val="001471C6"/>
    <w:rsid w:val="00147872"/>
    <w:rsid w:val="00147D80"/>
    <w:rsid w:val="00147FBC"/>
    <w:rsid w:val="00150159"/>
    <w:rsid w:val="00150214"/>
    <w:rsid w:val="0015032F"/>
    <w:rsid w:val="001505FF"/>
    <w:rsid w:val="001507D4"/>
    <w:rsid w:val="00150AAA"/>
    <w:rsid w:val="00151257"/>
    <w:rsid w:val="001512E6"/>
    <w:rsid w:val="00151DF3"/>
    <w:rsid w:val="00151E23"/>
    <w:rsid w:val="001526E0"/>
    <w:rsid w:val="00152806"/>
    <w:rsid w:val="001529CE"/>
    <w:rsid w:val="00152B02"/>
    <w:rsid w:val="00152B36"/>
    <w:rsid w:val="00152E21"/>
    <w:rsid w:val="001531A8"/>
    <w:rsid w:val="001535D4"/>
    <w:rsid w:val="001546BC"/>
    <w:rsid w:val="001547BD"/>
    <w:rsid w:val="001551B5"/>
    <w:rsid w:val="00155C75"/>
    <w:rsid w:val="00156061"/>
    <w:rsid w:val="0015616C"/>
    <w:rsid w:val="00156ED9"/>
    <w:rsid w:val="00157123"/>
    <w:rsid w:val="0015722B"/>
    <w:rsid w:val="00157513"/>
    <w:rsid w:val="00157792"/>
    <w:rsid w:val="00157908"/>
    <w:rsid w:val="00157D88"/>
    <w:rsid w:val="00157DBE"/>
    <w:rsid w:val="0016060D"/>
    <w:rsid w:val="00160AEA"/>
    <w:rsid w:val="00161407"/>
    <w:rsid w:val="00161B73"/>
    <w:rsid w:val="00161ED8"/>
    <w:rsid w:val="0016211D"/>
    <w:rsid w:val="00162988"/>
    <w:rsid w:val="001630DC"/>
    <w:rsid w:val="001632C9"/>
    <w:rsid w:val="00163513"/>
    <w:rsid w:val="001645D4"/>
    <w:rsid w:val="00165032"/>
    <w:rsid w:val="001652C6"/>
    <w:rsid w:val="00165889"/>
    <w:rsid w:val="001659C1"/>
    <w:rsid w:val="00165DE7"/>
    <w:rsid w:val="00166E55"/>
    <w:rsid w:val="00167323"/>
    <w:rsid w:val="00167710"/>
    <w:rsid w:val="001679AE"/>
    <w:rsid w:val="00167CFA"/>
    <w:rsid w:val="0017013E"/>
    <w:rsid w:val="00170393"/>
    <w:rsid w:val="00170B46"/>
    <w:rsid w:val="00170D35"/>
    <w:rsid w:val="00170EAC"/>
    <w:rsid w:val="0017102C"/>
    <w:rsid w:val="001711B8"/>
    <w:rsid w:val="001713DE"/>
    <w:rsid w:val="001718B9"/>
    <w:rsid w:val="00171A7E"/>
    <w:rsid w:val="0017236D"/>
    <w:rsid w:val="0017297D"/>
    <w:rsid w:val="00172A32"/>
    <w:rsid w:val="00172D8E"/>
    <w:rsid w:val="00173228"/>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6B6"/>
    <w:rsid w:val="001776BE"/>
    <w:rsid w:val="00177B9B"/>
    <w:rsid w:val="001803BA"/>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6EDA"/>
    <w:rsid w:val="0018724E"/>
    <w:rsid w:val="0019070C"/>
    <w:rsid w:val="00190AC1"/>
    <w:rsid w:val="00190E73"/>
    <w:rsid w:val="001910F1"/>
    <w:rsid w:val="00191801"/>
    <w:rsid w:val="00191A54"/>
    <w:rsid w:val="00191B9E"/>
    <w:rsid w:val="001921C2"/>
    <w:rsid w:val="00192907"/>
    <w:rsid w:val="001931BE"/>
    <w:rsid w:val="001931C1"/>
    <w:rsid w:val="0019341A"/>
    <w:rsid w:val="00193552"/>
    <w:rsid w:val="001940ED"/>
    <w:rsid w:val="00195001"/>
    <w:rsid w:val="001952AE"/>
    <w:rsid w:val="001953A8"/>
    <w:rsid w:val="00195E2A"/>
    <w:rsid w:val="00196705"/>
    <w:rsid w:val="00197424"/>
    <w:rsid w:val="00197DA6"/>
    <w:rsid w:val="00197DF9"/>
    <w:rsid w:val="00197E2F"/>
    <w:rsid w:val="00197EB8"/>
    <w:rsid w:val="001A0578"/>
    <w:rsid w:val="001A0F8C"/>
    <w:rsid w:val="001A105F"/>
    <w:rsid w:val="001A1987"/>
    <w:rsid w:val="001A2564"/>
    <w:rsid w:val="001A313E"/>
    <w:rsid w:val="001A3243"/>
    <w:rsid w:val="001A366B"/>
    <w:rsid w:val="001A3801"/>
    <w:rsid w:val="001A3EAB"/>
    <w:rsid w:val="001A41DD"/>
    <w:rsid w:val="001A4851"/>
    <w:rsid w:val="001A4DD0"/>
    <w:rsid w:val="001A4FF0"/>
    <w:rsid w:val="001A59FE"/>
    <w:rsid w:val="001A5E71"/>
    <w:rsid w:val="001A5FFF"/>
    <w:rsid w:val="001A6058"/>
    <w:rsid w:val="001A6173"/>
    <w:rsid w:val="001A6311"/>
    <w:rsid w:val="001A694B"/>
    <w:rsid w:val="001A69A9"/>
    <w:rsid w:val="001A6CBA"/>
    <w:rsid w:val="001A6CEA"/>
    <w:rsid w:val="001A7BF4"/>
    <w:rsid w:val="001B01AD"/>
    <w:rsid w:val="001B0217"/>
    <w:rsid w:val="001B0C0C"/>
    <w:rsid w:val="001B0D97"/>
    <w:rsid w:val="001B1CB1"/>
    <w:rsid w:val="001B2506"/>
    <w:rsid w:val="001B2608"/>
    <w:rsid w:val="001B2831"/>
    <w:rsid w:val="001B2B39"/>
    <w:rsid w:val="001B3D39"/>
    <w:rsid w:val="001B447E"/>
    <w:rsid w:val="001B4A1C"/>
    <w:rsid w:val="001B5364"/>
    <w:rsid w:val="001B54F3"/>
    <w:rsid w:val="001B5A5D"/>
    <w:rsid w:val="001B6997"/>
    <w:rsid w:val="001B6D5B"/>
    <w:rsid w:val="001B70DB"/>
    <w:rsid w:val="001B715D"/>
    <w:rsid w:val="001B76D7"/>
    <w:rsid w:val="001B7A17"/>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D2A"/>
    <w:rsid w:val="001C44EC"/>
    <w:rsid w:val="001C45C4"/>
    <w:rsid w:val="001C4B49"/>
    <w:rsid w:val="001C5B2D"/>
    <w:rsid w:val="001C5BCB"/>
    <w:rsid w:val="001C609A"/>
    <w:rsid w:val="001C61B9"/>
    <w:rsid w:val="001C6250"/>
    <w:rsid w:val="001C6F63"/>
    <w:rsid w:val="001C7107"/>
    <w:rsid w:val="001C71BB"/>
    <w:rsid w:val="001C75B4"/>
    <w:rsid w:val="001C7860"/>
    <w:rsid w:val="001C7897"/>
    <w:rsid w:val="001C7B54"/>
    <w:rsid w:val="001D056D"/>
    <w:rsid w:val="001D0760"/>
    <w:rsid w:val="001D0ADD"/>
    <w:rsid w:val="001D15A9"/>
    <w:rsid w:val="001D15CB"/>
    <w:rsid w:val="001D1BE2"/>
    <w:rsid w:val="001D2130"/>
    <w:rsid w:val="001D24C8"/>
    <w:rsid w:val="001D2B5F"/>
    <w:rsid w:val="001D2BD0"/>
    <w:rsid w:val="001D3342"/>
    <w:rsid w:val="001D3CFA"/>
    <w:rsid w:val="001D49B3"/>
    <w:rsid w:val="001D51BA"/>
    <w:rsid w:val="001D53E7"/>
    <w:rsid w:val="001D596D"/>
    <w:rsid w:val="001D6342"/>
    <w:rsid w:val="001D6906"/>
    <w:rsid w:val="001D6D53"/>
    <w:rsid w:val="001D6F1C"/>
    <w:rsid w:val="001D7246"/>
    <w:rsid w:val="001D7591"/>
    <w:rsid w:val="001E0AA0"/>
    <w:rsid w:val="001E0D07"/>
    <w:rsid w:val="001E0D4D"/>
    <w:rsid w:val="001E11B2"/>
    <w:rsid w:val="001E15AF"/>
    <w:rsid w:val="001E1909"/>
    <w:rsid w:val="001E1CBA"/>
    <w:rsid w:val="001E2C01"/>
    <w:rsid w:val="001E2FDD"/>
    <w:rsid w:val="001E30FD"/>
    <w:rsid w:val="001E3242"/>
    <w:rsid w:val="001E39A8"/>
    <w:rsid w:val="001E3D49"/>
    <w:rsid w:val="001E3DE1"/>
    <w:rsid w:val="001E3F06"/>
    <w:rsid w:val="001E425F"/>
    <w:rsid w:val="001E436E"/>
    <w:rsid w:val="001E5068"/>
    <w:rsid w:val="001E58E2"/>
    <w:rsid w:val="001E5F9A"/>
    <w:rsid w:val="001E6EEF"/>
    <w:rsid w:val="001E727B"/>
    <w:rsid w:val="001E76C4"/>
    <w:rsid w:val="001E7703"/>
    <w:rsid w:val="001E7AED"/>
    <w:rsid w:val="001F00D2"/>
    <w:rsid w:val="001F036F"/>
    <w:rsid w:val="001F04E9"/>
    <w:rsid w:val="001F0AD8"/>
    <w:rsid w:val="001F15E1"/>
    <w:rsid w:val="001F1D0D"/>
    <w:rsid w:val="001F23D0"/>
    <w:rsid w:val="001F268E"/>
    <w:rsid w:val="001F2C16"/>
    <w:rsid w:val="001F326A"/>
    <w:rsid w:val="001F3916"/>
    <w:rsid w:val="001F395E"/>
    <w:rsid w:val="001F39FC"/>
    <w:rsid w:val="001F4763"/>
    <w:rsid w:val="001F4C2C"/>
    <w:rsid w:val="001F4EE6"/>
    <w:rsid w:val="001F5288"/>
    <w:rsid w:val="001F5465"/>
    <w:rsid w:val="001F54C5"/>
    <w:rsid w:val="001F5698"/>
    <w:rsid w:val="001F5856"/>
    <w:rsid w:val="001F6108"/>
    <w:rsid w:val="001F62C8"/>
    <w:rsid w:val="001F662C"/>
    <w:rsid w:val="001F675D"/>
    <w:rsid w:val="001F6B9A"/>
    <w:rsid w:val="001F7074"/>
    <w:rsid w:val="001F7D71"/>
    <w:rsid w:val="00200490"/>
    <w:rsid w:val="0020068D"/>
    <w:rsid w:val="00200B33"/>
    <w:rsid w:val="00200D70"/>
    <w:rsid w:val="00201BFF"/>
    <w:rsid w:val="00201F3A"/>
    <w:rsid w:val="00202C07"/>
    <w:rsid w:val="00202F29"/>
    <w:rsid w:val="002037D8"/>
    <w:rsid w:val="00203CD3"/>
    <w:rsid w:val="00203F28"/>
    <w:rsid w:val="00203F96"/>
    <w:rsid w:val="00204298"/>
    <w:rsid w:val="00204546"/>
    <w:rsid w:val="0020457F"/>
    <w:rsid w:val="002045FA"/>
    <w:rsid w:val="002054B1"/>
    <w:rsid w:val="0020558A"/>
    <w:rsid w:val="00205634"/>
    <w:rsid w:val="002059C9"/>
    <w:rsid w:val="002062D3"/>
    <w:rsid w:val="002063C2"/>
    <w:rsid w:val="002069B2"/>
    <w:rsid w:val="002069B6"/>
    <w:rsid w:val="0020724C"/>
    <w:rsid w:val="002072DA"/>
    <w:rsid w:val="002073F8"/>
    <w:rsid w:val="00207A8A"/>
    <w:rsid w:val="00207B36"/>
    <w:rsid w:val="00207C8E"/>
    <w:rsid w:val="00207FA3"/>
    <w:rsid w:val="00207FD7"/>
    <w:rsid w:val="0021040E"/>
    <w:rsid w:val="00210649"/>
    <w:rsid w:val="0021121F"/>
    <w:rsid w:val="00211493"/>
    <w:rsid w:val="00211BD0"/>
    <w:rsid w:val="002127AF"/>
    <w:rsid w:val="00212AA3"/>
    <w:rsid w:val="00212BB0"/>
    <w:rsid w:val="00212DB8"/>
    <w:rsid w:val="00213228"/>
    <w:rsid w:val="0021338C"/>
    <w:rsid w:val="002137E3"/>
    <w:rsid w:val="00213FE5"/>
    <w:rsid w:val="0021428A"/>
    <w:rsid w:val="002148E8"/>
    <w:rsid w:val="00214DA8"/>
    <w:rsid w:val="00215120"/>
    <w:rsid w:val="00215423"/>
    <w:rsid w:val="002158FA"/>
    <w:rsid w:val="00215E4C"/>
    <w:rsid w:val="00216C2E"/>
    <w:rsid w:val="00216C91"/>
    <w:rsid w:val="002171DE"/>
    <w:rsid w:val="002175C8"/>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765"/>
    <w:rsid w:val="00230986"/>
    <w:rsid w:val="00230D18"/>
    <w:rsid w:val="002319E4"/>
    <w:rsid w:val="00231C8F"/>
    <w:rsid w:val="00231EE8"/>
    <w:rsid w:val="002324F6"/>
    <w:rsid w:val="00232911"/>
    <w:rsid w:val="00232A55"/>
    <w:rsid w:val="00232D5B"/>
    <w:rsid w:val="00232ECF"/>
    <w:rsid w:val="00233530"/>
    <w:rsid w:val="00233A0B"/>
    <w:rsid w:val="002347AA"/>
    <w:rsid w:val="002350F5"/>
    <w:rsid w:val="002354FA"/>
    <w:rsid w:val="002355FE"/>
    <w:rsid w:val="00235632"/>
    <w:rsid w:val="00235872"/>
    <w:rsid w:val="00236130"/>
    <w:rsid w:val="00237470"/>
    <w:rsid w:val="002375B6"/>
    <w:rsid w:val="0023794C"/>
    <w:rsid w:val="00240B47"/>
    <w:rsid w:val="00240DFD"/>
    <w:rsid w:val="00241559"/>
    <w:rsid w:val="0024193B"/>
    <w:rsid w:val="00241B53"/>
    <w:rsid w:val="00241E50"/>
    <w:rsid w:val="00242225"/>
    <w:rsid w:val="00242735"/>
    <w:rsid w:val="00242EA5"/>
    <w:rsid w:val="002435B3"/>
    <w:rsid w:val="00243712"/>
    <w:rsid w:val="00244477"/>
    <w:rsid w:val="002444AD"/>
    <w:rsid w:val="002448AF"/>
    <w:rsid w:val="00244A0C"/>
    <w:rsid w:val="00244AD4"/>
    <w:rsid w:val="002458EB"/>
    <w:rsid w:val="00245946"/>
    <w:rsid w:val="00245A3C"/>
    <w:rsid w:val="002460F1"/>
    <w:rsid w:val="00246E08"/>
    <w:rsid w:val="0024754B"/>
    <w:rsid w:val="00247563"/>
    <w:rsid w:val="00247EF8"/>
    <w:rsid w:val="00247FA9"/>
    <w:rsid w:val="002500C8"/>
    <w:rsid w:val="002503DB"/>
    <w:rsid w:val="00250683"/>
    <w:rsid w:val="0025078E"/>
    <w:rsid w:val="002509F8"/>
    <w:rsid w:val="00250BE3"/>
    <w:rsid w:val="0025102A"/>
    <w:rsid w:val="00251A92"/>
    <w:rsid w:val="00253241"/>
    <w:rsid w:val="00253322"/>
    <w:rsid w:val="002534E0"/>
    <w:rsid w:val="00253D56"/>
    <w:rsid w:val="00253EB4"/>
    <w:rsid w:val="00254998"/>
    <w:rsid w:val="00254C1A"/>
    <w:rsid w:val="00254C93"/>
    <w:rsid w:val="002550B9"/>
    <w:rsid w:val="0025529D"/>
    <w:rsid w:val="00255738"/>
    <w:rsid w:val="0025603F"/>
    <w:rsid w:val="0025608F"/>
    <w:rsid w:val="00256245"/>
    <w:rsid w:val="002569A7"/>
    <w:rsid w:val="00256BF7"/>
    <w:rsid w:val="0025705C"/>
    <w:rsid w:val="0025735B"/>
    <w:rsid w:val="00257381"/>
    <w:rsid w:val="00257543"/>
    <w:rsid w:val="002577FB"/>
    <w:rsid w:val="002609BB"/>
    <w:rsid w:val="00260BF6"/>
    <w:rsid w:val="00260E52"/>
    <w:rsid w:val="002617E7"/>
    <w:rsid w:val="002618B1"/>
    <w:rsid w:val="00261F84"/>
    <w:rsid w:val="00262865"/>
    <w:rsid w:val="00262B33"/>
    <w:rsid w:val="0026307D"/>
    <w:rsid w:val="00263286"/>
    <w:rsid w:val="00263525"/>
    <w:rsid w:val="00263997"/>
    <w:rsid w:val="00263FEE"/>
    <w:rsid w:val="00264228"/>
    <w:rsid w:val="0026425E"/>
    <w:rsid w:val="00264334"/>
    <w:rsid w:val="00264515"/>
    <w:rsid w:val="002645ED"/>
    <w:rsid w:val="00264631"/>
    <w:rsid w:val="00264672"/>
    <w:rsid w:val="0026473E"/>
    <w:rsid w:val="00264DA1"/>
    <w:rsid w:val="00264DE4"/>
    <w:rsid w:val="00264E80"/>
    <w:rsid w:val="00264EEB"/>
    <w:rsid w:val="00265260"/>
    <w:rsid w:val="00265359"/>
    <w:rsid w:val="002653EE"/>
    <w:rsid w:val="00266214"/>
    <w:rsid w:val="00266DA1"/>
    <w:rsid w:val="00266F25"/>
    <w:rsid w:val="00267112"/>
    <w:rsid w:val="002673D6"/>
    <w:rsid w:val="00267C83"/>
    <w:rsid w:val="002700F9"/>
    <w:rsid w:val="00270A8D"/>
    <w:rsid w:val="00270DCA"/>
    <w:rsid w:val="0027144F"/>
    <w:rsid w:val="0027157A"/>
    <w:rsid w:val="00271813"/>
    <w:rsid w:val="0027186A"/>
    <w:rsid w:val="00271F3A"/>
    <w:rsid w:val="00273278"/>
    <w:rsid w:val="002737F4"/>
    <w:rsid w:val="002738F9"/>
    <w:rsid w:val="002739A0"/>
    <w:rsid w:val="00274601"/>
    <w:rsid w:val="002746B5"/>
    <w:rsid w:val="002746F7"/>
    <w:rsid w:val="00274BD4"/>
    <w:rsid w:val="002756F4"/>
    <w:rsid w:val="00275781"/>
    <w:rsid w:val="002769D3"/>
    <w:rsid w:val="00276DB6"/>
    <w:rsid w:val="00276EA6"/>
    <w:rsid w:val="00276FBE"/>
    <w:rsid w:val="002770F9"/>
    <w:rsid w:val="00277BB0"/>
    <w:rsid w:val="00277C2B"/>
    <w:rsid w:val="00277CFB"/>
    <w:rsid w:val="0028043B"/>
    <w:rsid w:val="002805F5"/>
    <w:rsid w:val="002806A4"/>
    <w:rsid w:val="00280751"/>
    <w:rsid w:val="00280923"/>
    <w:rsid w:val="00280C37"/>
    <w:rsid w:val="0028135B"/>
    <w:rsid w:val="0028280A"/>
    <w:rsid w:val="00283454"/>
    <w:rsid w:val="002835B1"/>
    <w:rsid w:val="0028379D"/>
    <w:rsid w:val="00283A25"/>
    <w:rsid w:val="002841E2"/>
    <w:rsid w:val="002848AD"/>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1B9"/>
    <w:rsid w:val="0029229D"/>
    <w:rsid w:val="00292CF1"/>
    <w:rsid w:val="00292EB7"/>
    <w:rsid w:val="00292F77"/>
    <w:rsid w:val="00293528"/>
    <w:rsid w:val="00293566"/>
    <w:rsid w:val="00293758"/>
    <w:rsid w:val="00293AFD"/>
    <w:rsid w:val="00294057"/>
    <w:rsid w:val="00294162"/>
    <w:rsid w:val="0029467C"/>
    <w:rsid w:val="00294E91"/>
    <w:rsid w:val="00295264"/>
    <w:rsid w:val="00295686"/>
    <w:rsid w:val="00296227"/>
    <w:rsid w:val="002962E5"/>
    <w:rsid w:val="00296F44"/>
    <w:rsid w:val="00296F81"/>
    <w:rsid w:val="00297207"/>
    <w:rsid w:val="0029777D"/>
    <w:rsid w:val="00297C57"/>
    <w:rsid w:val="00297C97"/>
    <w:rsid w:val="002A019A"/>
    <w:rsid w:val="002A0210"/>
    <w:rsid w:val="002A02A5"/>
    <w:rsid w:val="002A055E"/>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7C"/>
    <w:rsid w:val="002A595F"/>
    <w:rsid w:val="002A5A74"/>
    <w:rsid w:val="002A5A8F"/>
    <w:rsid w:val="002A5ED2"/>
    <w:rsid w:val="002A636C"/>
    <w:rsid w:val="002A644A"/>
    <w:rsid w:val="002A68DA"/>
    <w:rsid w:val="002A6C3B"/>
    <w:rsid w:val="002A6D45"/>
    <w:rsid w:val="002A7069"/>
    <w:rsid w:val="002A76BC"/>
    <w:rsid w:val="002A7A73"/>
    <w:rsid w:val="002A7CFF"/>
    <w:rsid w:val="002A7F3E"/>
    <w:rsid w:val="002B0094"/>
    <w:rsid w:val="002B01D9"/>
    <w:rsid w:val="002B03F5"/>
    <w:rsid w:val="002B0477"/>
    <w:rsid w:val="002B0DEE"/>
    <w:rsid w:val="002B1001"/>
    <w:rsid w:val="002B103C"/>
    <w:rsid w:val="002B1150"/>
    <w:rsid w:val="002B129E"/>
    <w:rsid w:val="002B134E"/>
    <w:rsid w:val="002B17BC"/>
    <w:rsid w:val="002B17FF"/>
    <w:rsid w:val="002B1BF2"/>
    <w:rsid w:val="002B1F23"/>
    <w:rsid w:val="002B24D6"/>
    <w:rsid w:val="002B2AB7"/>
    <w:rsid w:val="002B3C3D"/>
    <w:rsid w:val="002B4523"/>
    <w:rsid w:val="002B4954"/>
    <w:rsid w:val="002B519B"/>
    <w:rsid w:val="002B5E2A"/>
    <w:rsid w:val="002B64AA"/>
    <w:rsid w:val="002B707D"/>
    <w:rsid w:val="002B747E"/>
    <w:rsid w:val="002B7C0D"/>
    <w:rsid w:val="002B7C12"/>
    <w:rsid w:val="002C0346"/>
    <w:rsid w:val="002C0463"/>
    <w:rsid w:val="002C0AC8"/>
    <w:rsid w:val="002C0EA8"/>
    <w:rsid w:val="002C12C3"/>
    <w:rsid w:val="002C165B"/>
    <w:rsid w:val="002C1890"/>
    <w:rsid w:val="002C1A85"/>
    <w:rsid w:val="002C1FA9"/>
    <w:rsid w:val="002C29B6"/>
    <w:rsid w:val="002C2B26"/>
    <w:rsid w:val="002C34C0"/>
    <w:rsid w:val="002C35F8"/>
    <w:rsid w:val="002C3794"/>
    <w:rsid w:val="002C416D"/>
    <w:rsid w:val="002C41E6"/>
    <w:rsid w:val="002C4A89"/>
    <w:rsid w:val="002C4B82"/>
    <w:rsid w:val="002C4D39"/>
    <w:rsid w:val="002C4E3D"/>
    <w:rsid w:val="002C4FFD"/>
    <w:rsid w:val="002C6516"/>
    <w:rsid w:val="002C689D"/>
    <w:rsid w:val="002C6AEE"/>
    <w:rsid w:val="002C6D36"/>
    <w:rsid w:val="002C72FD"/>
    <w:rsid w:val="002C7352"/>
    <w:rsid w:val="002C7552"/>
    <w:rsid w:val="002C7584"/>
    <w:rsid w:val="002C782D"/>
    <w:rsid w:val="002C7B06"/>
    <w:rsid w:val="002D0010"/>
    <w:rsid w:val="002D071A"/>
    <w:rsid w:val="002D09F6"/>
    <w:rsid w:val="002D0BF4"/>
    <w:rsid w:val="002D0C2F"/>
    <w:rsid w:val="002D0E30"/>
    <w:rsid w:val="002D1040"/>
    <w:rsid w:val="002D16C0"/>
    <w:rsid w:val="002D191F"/>
    <w:rsid w:val="002D212C"/>
    <w:rsid w:val="002D26AA"/>
    <w:rsid w:val="002D2761"/>
    <w:rsid w:val="002D2BD8"/>
    <w:rsid w:val="002D2E65"/>
    <w:rsid w:val="002D34B2"/>
    <w:rsid w:val="002D4734"/>
    <w:rsid w:val="002D48B0"/>
    <w:rsid w:val="002D4D2C"/>
    <w:rsid w:val="002D59FF"/>
    <w:rsid w:val="002D5B37"/>
    <w:rsid w:val="002D5DA7"/>
    <w:rsid w:val="002D5E50"/>
    <w:rsid w:val="002D5EF1"/>
    <w:rsid w:val="002D6337"/>
    <w:rsid w:val="002D6654"/>
    <w:rsid w:val="002D6C4A"/>
    <w:rsid w:val="002D6CEF"/>
    <w:rsid w:val="002D71CB"/>
    <w:rsid w:val="002D7264"/>
    <w:rsid w:val="002D735E"/>
    <w:rsid w:val="002D73FF"/>
    <w:rsid w:val="002D7637"/>
    <w:rsid w:val="002E05FE"/>
    <w:rsid w:val="002E07EB"/>
    <w:rsid w:val="002E0898"/>
    <w:rsid w:val="002E12DE"/>
    <w:rsid w:val="002E1731"/>
    <w:rsid w:val="002E17F2"/>
    <w:rsid w:val="002E193C"/>
    <w:rsid w:val="002E1ACE"/>
    <w:rsid w:val="002E1C12"/>
    <w:rsid w:val="002E1DA4"/>
    <w:rsid w:val="002E2387"/>
    <w:rsid w:val="002E238C"/>
    <w:rsid w:val="002E2CC7"/>
    <w:rsid w:val="002E3199"/>
    <w:rsid w:val="002E344A"/>
    <w:rsid w:val="002E37DA"/>
    <w:rsid w:val="002E37F4"/>
    <w:rsid w:val="002E4B3D"/>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DA3"/>
    <w:rsid w:val="002F13D6"/>
    <w:rsid w:val="002F14A5"/>
    <w:rsid w:val="002F1A54"/>
    <w:rsid w:val="002F215A"/>
    <w:rsid w:val="002F2771"/>
    <w:rsid w:val="002F2B1E"/>
    <w:rsid w:val="002F31B9"/>
    <w:rsid w:val="002F37A9"/>
    <w:rsid w:val="002F3886"/>
    <w:rsid w:val="002F38D6"/>
    <w:rsid w:val="002F39C1"/>
    <w:rsid w:val="002F3B4E"/>
    <w:rsid w:val="002F3C18"/>
    <w:rsid w:val="002F3F47"/>
    <w:rsid w:val="002F453C"/>
    <w:rsid w:val="002F468C"/>
    <w:rsid w:val="002F473F"/>
    <w:rsid w:val="002F47CF"/>
    <w:rsid w:val="002F4ADD"/>
    <w:rsid w:val="002F57B4"/>
    <w:rsid w:val="002F5AD2"/>
    <w:rsid w:val="002F5FA2"/>
    <w:rsid w:val="002F64AE"/>
    <w:rsid w:val="002F64D6"/>
    <w:rsid w:val="002F67A3"/>
    <w:rsid w:val="002F7CCB"/>
    <w:rsid w:val="002F7DCD"/>
    <w:rsid w:val="00300077"/>
    <w:rsid w:val="00300AEA"/>
    <w:rsid w:val="00300CCE"/>
    <w:rsid w:val="0030134F"/>
    <w:rsid w:val="00301C18"/>
    <w:rsid w:val="00301CE6"/>
    <w:rsid w:val="00301D5F"/>
    <w:rsid w:val="0030237B"/>
    <w:rsid w:val="0030254F"/>
    <w:rsid w:val="0030256B"/>
    <w:rsid w:val="003025A7"/>
    <w:rsid w:val="00302920"/>
    <w:rsid w:val="00302976"/>
    <w:rsid w:val="00303729"/>
    <w:rsid w:val="00303B17"/>
    <w:rsid w:val="00303DD1"/>
    <w:rsid w:val="00303E56"/>
    <w:rsid w:val="003048E2"/>
    <w:rsid w:val="003048EB"/>
    <w:rsid w:val="00304E13"/>
    <w:rsid w:val="00304F17"/>
    <w:rsid w:val="0030501F"/>
    <w:rsid w:val="00305518"/>
    <w:rsid w:val="00305632"/>
    <w:rsid w:val="003056D2"/>
    <w:rsid w:val="003057B0"/>
    <w:rsid w:val="00306286"/>
    <w:rsid w:val="0030629B"/>
    <w:rsid w:val="003069EE"/>
    <w:rsid w:val="00306B43"/>
    <w:rsid w:val="00306E4D"/>
    <w:rsid w:val="00307487"/>
    <w:rsid w:val="003074E6"/>
    <w:rsid w:val="003078E6"/>
    <w:rsid w:val="0030797C"/>
    <w:rsid w:val="00307A2F"/>
    <w:rsid w:val="00307BA1"/>
    <w:rsid w:val="00307FE0"/>
    <w:rsid w:val="0031049C"/>
    <w:rsid w:val="00310C60"/>
    <w:rsid w:val="003114CB"/>
    <w:rsid w:val="003115FC"/>
    <w:rsid w:val="00311702"/>
    <w:rsid w:val="00311BF8"/>
    <w:rsid w:val="00311C76"/>
    <w:rsid w:val="00311C91"/>
    <w:rsid w:val="00311E82"/>
    <w:rsid w:val="003121C4"/>
    <w:rsid w:val="003122F8"/>
    <w:rsid w:val="00312628"/>
    <w:rsid w:val="003126AC"/>
    <w:rsid w:val="003129C1"/>
    <w:rsid w:val="00312A43"/>
    <w:rsid w:val="00313071"/>
    <w:rsid w:val="003130A0"/>
    <w:rsid w:val="00313CBB"/>
    <w:rsid w:val="00313FD6"/>
    <w:rsid w:val="00314286"/>
    <w:rsid w:val="003142C4"/>
    <w:rsid w:val="003143BD"/>
    <w:rsid w:val="00314A33"/>
    <w:rsid w:val="00314CEB"/>
    <w:rsid w:val="0031514F"/>
    <w:rsid w:val="00315363"/>
    <w:rsid w:val="003155A2"/>
    <w:rsid w:val="00315606"/>
    <w:rsid w:val="0031586C"/>
    <w:rsid w:val="00315AE0"/>
    <w:rsid w:val="00315E63"/>
    <w:rsid w:val="00316062"/>
    <w:rsid w:val="003162A1"/>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4D23"/>
    <w:rsid w:val="00324EA7"/>
    <w:rsid w:val="00324FE9"/>
    <w:rsid w:val="00325784"/>
    <w:rsid w:val="00325AE9"/>
    <w:rsid w:val="00325CB6"/>
    <w:rsid w:val="00326303"/>
    <w:rsid w:val="00326662"/>
    <w:rsid w:val="003266D1"/>
    <w:rsid w:val="0032672E"/>
    <w:rsid w:val="00326BB7"/>
    <w:rsid w:val="00327095"/>
    <w:rsid w:val="003274A0"/>
    <w:rsid w:val="00327B67"/>
    <w:rsid w:val="00327D4D"/>
    <w:rsid w:val="003301C1"/>
    <w:rsid w:val="00330481"/>
    <w:rsid w:val="003307EE"/>
    <w:rsid w:val="00331512"/>
    <w:rsid w:val="00331751"/>
    <w:rsid w:val="00331D28"/>
    <w:rsid w:val="00332362"/>
    <w:rsid w:val="003327E5"/>
    <w:rsid w:val="00332B9C"/>
    <w:rsid w:val="00332EBC"/>
    <w:rsid w:val="003331D9"/>
    <w:rsid w:val="00333DEF"/>
    <w:rsid w:val="003344C8"/>
    <w:rsid w:val="00334579"/>
    <w:rsid w:val="00334610"/>
    <w:rsid w:val="00334D69"/>
    <w:rsid w:val="00335144"/>
    <w:rsid w:val="00335858"/>
    <w:rsid w:val="00335979"/>
    <w:rsid w:val="00335ED2"/>
    <w:rsid w:val="00336AD6"/>
    <w:rsid w:val="00336BDA"/>
    <w:rsid w:val="00337272"/>
    <w:rsid w:val="003372FB"/>
    <w:rsid w:val="0033743B"/>
    <w:rsid w:val="00337520"/>
    <w:rsid w:val="00337FD6"/>
    <w:rsid w:val="00340547"/>
    <w:rsid w:val="00341022"/>
    <w:rsid w:val="00341BBC"/>
    <w:rsid w:val="00342BD7"/>
    <w:rsid w:val="00343469"/>
    <w:rsid w:val="003438E3"/>
    <w:rsid w:val="00344690"/>
    <w:rsid w:val="00344EAC"/>
    <w:rsid w:val="00344F0C"/>
    <w:rsid w:val="0034578E"/>
    <w:rsid w:val="00345AEC"/>
    <w:rsid w:val="00345F5E"/>
    <w:rsid w:val="0034689C"/>
    <w:rsid w:val="00346B69"/>
    <w:rsid w:val="00346DB5"/>
    <w:rsid w:val="003477A3"/>
    <w:rsid w:val="003477B1"/>
    <w:rsid w:val="00347A8D"/>
    <w:rsid w:val="00347AC5"/>
    <w:rsid w:val="00347C9E"/>
    <w:rsid w:val="0035090C"/>
    <w:rsid w:val="00350E5F"/>
    <w:rsid w:val="003519C8"/>
    <w:rsid w:val="00351A62"/>
    <w:rsid w:val="00351BB8"/>
    <w:rsid w:val="00352068"/>
    <w:rsid w:val="003525A7"/>
    <w:rsid w:val="00352845"/>
    <w:rsid w:val="00352BE4"/>
    <w:rsid w:val="003533D6"/>
    <w:rsid w:val="0035379A"/>
    <w:rsid w:val="003539A2"/>
    <w:rsid w:val="00353D34"/>
    <w:rsid w:val="0035426A"/>
    <w:rsid w:val="003554AA"/>
    <w:rsid w:val="003555E7"/>
    <w:rsid w:val="0035625C"/>
    <w:rsid w:val="00356C6D"/>
    <w:rsid w:val="00357380"/>
    <w:rsid w:val="00357BB7"/>
    <w:rsid w:val="00357C09"/>
    <w:rsid w:val="00360226"/>
    <w:rsid w:val="003602D9"/>
    <w:rsid w:val="003604CE"/>
    <w:rsid w:val="00360686"/>
    <w:rsid w:val="00360789"/>
    <w:rsid w:val="0036099F"/>
    <w:rsid w:val="00361378"/>
    <w:rsid w:val="00361701"/>
    <w:rsid w:val="0036209C"/>
    <w:rsid w:val="00362395"/>
    <w:rsid w:val="00362CE7"/>
    <w:rsid w:val="00362D34"/>
    <w:rsid w:val="00363482"/>
    <w:rsid w:val="003636FB"/>
    <w:rsid w:val="00363829"/>
    <w:rsid w:val="003643D5"/>
    <w:rsid w:val="0036466A"/>
    <w:rsid w:val="0036507F"/>
    <w:rsid w:val="003652E7"/>
    <w:rsid w:val="0036606B"/>
    <w:rsid w:val="00366C63"/>
    <w:rsid w:val="00367898"/>
    <w:rsid w:val="003678D5"/>
    <w:rsid w:val="00367A62"/>
    <w:rsid w:val="00367A90"/>
    <w:rsid w:val="00370435"/>
    <w:rsid w:val="00370E47"/>
    <w:rsid w:val="00371110"/>
    <w:rsid w:val="00371588"/>
    <w:rsid w:val="003715AF"/>
    <w:rsid w:val="00371665"/>
    <w:rsid w:val="003716F8"/>
    <w:rsid w:val="00371944"/>
    <w:rsid w:val="003719A1"/>
    <w:rsid w:val="00371E9B"/>
    <w:rsid w:val="00372DA8"/>
    <w:rsid w:val="00373697"/>
    <w:rsid w:val="003739E0"/>
    <w:rsid w:val="00373BA1"/>
    <w:rsid w:val="00373C05"/>
    <w:rsid w:val="0037423B"/>
    <w:rsid w:val="003742AC"/>
    <w:rsid w:val="0037435E"/>
    <w:rsid w:val="003757A0"/>
    <w:rsid w:val="00375856"/>
    <w:rsid w:val="003758AD"/>
    <w:rsid w:val="00375B6A"/>
    <w:rsid w:val="00375E4B"/>
    <w:rsid w:val="0037607A"/>
    <w:rsid w:val="00376D38"/>
    <w:rsid w:val="00376F7C"/>
    <w:rsid w:val="00377CE1"/>
    <w:rsid w:val="003809A1"/>
    <w:rsid w:val="00380A35"/>
    <w:rsid w:val="00381703"/>
    <w:rsid w:val="00381A54"/>
    <w:rsid w:val="00381D66"/>
    <w:rsid w:val="00381E0E"/>
    <w:rsid w:val="00382419"/>
    <w:rsid w:val="00382574"/>
    <w:rsid w:val="00382784"/>
    <w:rsid w:val="003837BA"/>
    <w:rsid w:val="00383824"/>
    <w:rsid w:val="0038508D"/>
    <w:rsid w:val="0038530E"/>
    <w:rsid w:val="00385BF0"/>
    <w:rsid w:val="00385F1C"/>
    <w:rsid w:val="003861ED"/>
    <w:rsid w:val="003869DB"/>
    <w:rsid w:val="00386BD7"/>
    <w:rsid w:val="003872AD"/>
    <w:rsid w:val="00387562"/>
    <w:rsid w:val="00387EC0"/>
    <w:rsid w:val="003901DB"/>
    <w:rsid w:val="00390467"/>
    <w:rsid w:val="00390782"/>
    <w:rsid w:val="00390F05"/>
    <w:rsid w:val="003910E3"/>
    <w:rsid w:val="00391315"/>
    <w:rsid w:val="0039143E"/>
    <w:rsid w:val="00391715"/>
    <w:rsid w:val="00391930"/>
    <w:rsid w:val="00391A2E"/>
    <w:rsid w:val="003922AA"/>
    <w:rsid w:val="0039286F"/>
    <w:rsid w:val="00392889"/>
    <w:rsid w:val="0039318F"/>
    <w:rsid w:val="003939FF"/>
    <w:rsid w:val="00393B72"/>
    <w:rsid w:val="00393EBE"/>
    <w:rsid w:val="00394525"/>
    <w:rsid w:val="00394556"/>
    <w:rsid w:val="0039473E"/>
    <w:rsid w:val="00394BCB"/>
    <w:rsid w:val="00394FE6"/>
    <w:rsid w:val="003950D1"/>
    <w:rsid w:val="00395181"/>
    <w:rsid w:val="0039523F"/>
    <w:rsid w:val="00396D2F"/>
    <w:rsid w:val="00396D8C"/>
    <w:rsid w:val="00397BD6"/>
    <w:rsid w:val="00397D2C"/>
    <w:rsid w:val="003A015D"/>
    <w:rsid w:val="003A01B4"/>
    <w:rsid w:val="003A023B"/>
    <w:rsid w:val="003A0242"/>
    <w:rsid w:val="003A08C0"/>
    <w:rsid w:val="003A097C"/>
    <w:rsid w:val="003A0F81"/>
    <w:rsid w:val="003A1126"/>
    <w:rsid w:val="003A12C6"/>
    <w:rsid w:val="003A15D5"/>
    <w:rsid w:val="003A17BC"/>
    <w:rsid w:val="003A1968"/>
    <w:rsid w:val="003A2223"/>
    <w:rsid w:val="003A22AF"/>
    <w:rsid w:val="003A2A0F"/>
    <w:rsid w:val="003A3838"/>
    <w:rsid w:val="003A4074"/>
    <w:rsid w:val="003A45A1"/>
    <w:rsid w:val="003A463B"/>
    <w:rsid w:val="003A4BD2"/>
    <w:rsid w:val="003A5341"/>
    <w:rsid w:val="003A535C"/>
    <w:rsid w:val="003A57B8"/>
    <w:rsid w:val="003A5B0A"/>
    <w:rsid w:val="003A5C83"/>
    <w:rsid w:val="003A655F"/>
    <w:rsid w:val="003A6643"/>
    <w:rsid w:val="003A6BAC"/>
    <w:rsid w:val="003A70A4"/>
    <w:rsid w:val="003A70DB"/>
    <w:rsid w:val="003A73D7"/>
    <w:rsid w:val="003A7420"/>
    <w:rsid w:val="003A79C5"/>
    <w:rsid w:val="003A7BD6"/>
    <w:rsid w:val="003A7D60"/>
    <w:rsid w:val="003A7EF3"/>
    <w:rsid w:val="003B0146"/>
    <w:rsid w:val="003B06ED"/>
    <w:rsid w:val="003B087D"/>
    <w:rsid w:val="003B0DDC"/>
    <w:rsid w:val="003B13D5"/>
    <w:rsid w:val="003B154E"/>
    <w:rsid w:val="003B159C"/>
    <w:rsid w:val="003B1898"/>
    <w:rsid w:val="003B1A61"/>
    <w:rsid w:val="003B369F"/>
    <w:rsid w:val="003B36A3"/>
    <w:rsid w:val="003B3ECB"/>
    <w:rsid w:val="003B4F1E"/>
    <w:rsid w:val="003B520E"/>
    <w:rsid w:val="003B53B6"/>
    <w:rsid w:val="003B540E"/>
    <w:rsid w:val="003B55B0"/>
    <w:rsid w:val="003B5621"/>
    <w:rsid w:val="003B5806"/>
    <w:rsid w:val="003B5918"/>
    <w:rsid w:val="003B5D4D"/>
    <w:rsid w:val="003B5E6A"/>
    <w:rsid w:val="003B64BB"/>
    <w:rsid w:val="003B73E6"/>
    <w:rsid w:val="003B7409"/>
    <w:rsid w:val="003B74A3"/>
    <w:rsid w:val="003B7AC5"/>
    <w:rsid w:val="003B7EAD"/>
    <w:rsid w:val="003B7FE5"/>
    <w:rsid w:val="003C11C8"/>
    <w:rsid w:val="003C1A32"/>
    <w:rsid w:val="003C1BA9"/>
    <w:rsid w:val="003C1DB2"/>
    <w:rsid w:val="003C1FA5"/>
    <w:rsid w:val="003C23EA"/>
    <w:rsid w:val="003C25B4"/>
    <w:rsid w:val="003C2702"/>
    <w:rsid w:val="003C2B8A"/>
    <w:rsid w:val="003C2C01"/>
    <w:rsid w:val="003C2D1E"/>
    <w:rsid w:val="003C2FF5"/>
    <w:rsid w:val="003C3431"/>
    <w:rsid w:val="003C4092"/>
    <w:rsid w:val="003C4159"/>
    <w:rsid w:val="003C4A06"/>
    <w:rsid w:val="003C4A31"/>
    <w:rsid w:val="003C65F3"/>
    <w:rsid w:val="003C68D5"/>
    <w:rsid w:val="003C6902"/>
    <w:rsid w:val="003C6AC4"/>
    <w:rsid w:val="003C6ACE"/>
    <w:rsid w:val="003C7594"/>
    <w:rsid w:val="003C75DA"/>
    <w:rsid w:val="003C7618"/>
    <w:rsid w:val="003C7806"/>
    <w:rsid w:val="003C7E70"/>
    <w:rsid w:val="003D0128"/>
    <w:rsid w:val="003D109F"/>
    <w:rsid w:val="003D1224"/>
    <w:rsid w:val="003D1528"/>
    <w:rsid w:val="003D1DC3"/>
    <w:rsid w:val="003D1F67"/>
    <w:rsid w:val="003D2478"/>
    <w:rsid w:val="003D25B4"/>
    <w:rsid w:val="003D28BA"/>
    <w:rsid w:val="003D29CD"/>
    <w:rsid w:val="003D2B99"/>
    <w:rsid w:val="003D3111"/>
    <w:rsid w:val="003D3804"/>
    <w:rsid w:val="003D386D"/>
    <w:rsid w:val="003D3C45"/>
    <w:rsid w:val="003D44FC"/>
    <w:rsid w:val="003D4859"/>
    <w:rsid w:val="003D59FF"/>
    <w:rsid w:val="003D5B1F"/>
    <w:rsid w:val="003D5C41"/>
    <w:rsid w:val="003D5F37"/>
    <w:rsid w:val="003D68A5"/>
    <w:rsid w:val="003D691D"/>
    <w:rsid w:val="003D6E8E"/>
    <w:rsid w:val="003D7651"/>
    <w:rsid w:val="003D7786"/>
    <w:rsid w:val="003D77C9"/>
    <w:rsid w:val="003D78C1"/>
    <w:rsid w:val="003D7F69"/>
    <w:rsid w:val="003D7F9D"/>
    <w:rsid w:val="003E07A7"/>
    <w:rsid w:val="003E1283"/>
    <w:rsid w:val="003E1498"/>
    <w:rsid w:val="003E15AE"/>
    <w:rsid w:val="003E15FA"/>
    <w:rsid w:val="003E1A47"/>
    <w:rsid w:val="003E230A"/>
    <w:rsid w:val="003E2335"/>
    <w:rsid w:val="003E23F2"/>
    <w:rsid w:val="003E26F8"/>
    <w:rsid w:val="003E2A8F"/>
    <w:rsid w:val="003E312F"/>
    <w:rsid w:val="003E31E8"/>
    <w:rsid w:val="003E37FE"/>
    <w:rsid w:val="003E3845"/>
    <w:rsid w:val="003E48A3"/>
    <w:rsid w:val="003E55E4"/>
    <w:rsid w:val="003E5C14"/>
    <w:rsid w:val="003E5D4B"/>
    <w:rsid w:val="003E60A4"/>
    <w:rsid w:val="003E7135"/>
    <w:rsid w:val="003E7339"/>
    <w:rsid w:val="003E74E3"/>
    <w:rsid w:val="003E7625"/>
    <w:rsid w:val="003E7B20"/>
    <w:rsid w:val="003F01CB"/>
    <w:rsid w:val="003F05C7"/>
    <w:rsid w:val="003F07F2"/>
    <w:rsid w:val="003F08A9"/>
    <w:rsid w:val="003F0C54"/>
    <w:rsid w:val="003F0E1D"/>
    <w:rsid w:val="003F0F92"/>
    <w:rsid w:val="003F19BA"/>
    <w:rsid w:val="003F1B22"/>
    <w:rsid w:val="003F2C22"/>
    <w:rsid w:val="003F2CD4"/>
    <w:rsid w:val="003F2DF5"/>
    <w:rsid w:val="003F34FC"/>
    <w:rsid w:val="003F3BA1"/>
    <w:rsid w:val="003F3D2D"/>
    <w:rsid w:val="003F4313"/>
    <w:rsid w:val="003F44A7"/>
    <w:rsid w:val="003F5250"/>
    <w:rsid w:val="003F5B0A"/>
    <w:rsid w:val="003F5DB5"/>
    <w:rsid w:val="003F6030"/>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C00"/>
    <w:rsid w:val="00404FFD"/>
    <w:rsid w:val="0040512B"/>
    <w:rsid w:val="0040532C"/>
    <w:rsid w:val="00405501"/>
    <w:rsid w:val="00405CA5"/>
    <w:rsid w:val="004072D8"/>
    <w:rsid w:val="00407313"/>
    <w:rsid w:val="00407CD3"/>
    <w:rsid w:val="00410134"/>
    <w:rsid w:val="004103BF"/>
    <w:rsid w:val="00410522"/>
    <w:rsid w:val="00410526"/>
    <w:rsid w:val="00410B72"/>
    <w:rsid w:val="00410F18"/>
    <w:rsid w:val="00411202"/>
    <w:rsid w:val="004113BF"/>
    <w:rsid w:val="004118A7"/>
    <w:rsid w:val="00411F1D"/>
    <w:rsid w:val="0041263E"/>
    <w:rsid w:val="004126F7"/>
    <w:rsid w:val="004127BC"/>
    <w:rsid w:val="00412BA5"/>
    <w:rsid w:val="00412FCB"/>
    <w:rsid w:val="00413182"/>
    <w:rsid w:val="004135C2"/>
    <w:rsid w:val="00413AAC"/>
    <w:rsid w:val="00413BB7"/>
    <w:rsid w:val="00413E92"/>
    <w:rsid w:val="00414024"/>
    <w:rsid w:val="00414A1B"/>
    <w:rsid w:val="00414B38"/>
    <w:rsid w:val="00415B91"/>
    <w:rsid w:val="00415C12"/>
    <w:rsid w:val="004161FA"/>
    <w:rsid w:val="00417BF5"/>
    <w:rsid w:val="00420231"/>
    <w:rsid w:val="0042086B"/>
    <w:rsid w:val="00420BD3"/>
    <w:rsid w:val="00421105"/>
    <w:rsid w:val="004215C1"/>
    <w:rsid w:val="0042161D"/>
    <w:rsid w:val="00421ED2"/>
    <w:rsid w:val="0042249A"/>
    <w:rsid w:val="00422AA4"/>
    <w:rsid w:val="0042380D"/>
    <w:rsid w:val="00423BDD"/>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300FF"/>
    <w:rsid w:val="0043043F"/>
    <w:rsid w:val="004306CA"/>
    <w:rsid w:val="00431028"/>
    <w:rsid w:val="004311D2"/>
    <w:rsid w:val="004313B7"/>
    <w:rsid w:val="00431611"/>
    <w:rsid w:val="00431944"/>
    <w:rsid w:val="00431B12"/>
    <w:rsid w:val="00431F73"/>
    <w:rsid w:val="00432555"/>
    <w:rsid w:val="004328AE"/>
    <w:rsid w:val="00433544"/>
    <w:rsid w:val="00433C2E"/>
    <w:rsid w:val="00433C46"/>
    <w:rsid w:val="0043442E"/>
    <w:rsid w:val="00434B93"/>
    <w:rsid w:val="00434F41"/>
    <w:rsid w:val="00435CE6"/>
    <w:rsid w:val="00436596"/>
    <w:rsid w:val="00436600"/>
    <w:rsid w:val="00436D80"/>
    <w:rsid w:val="00437447"/>
    <w:rsid w:val="00437DD5"/>
    <w:rsid w:val="00437DD8"/>
    <w:rsid w:val="00440761"/>
    <w:rsid w:val="00440A0A"/>
    <w:rsid w:val="00441A92"/>
    <w:rsid w:val="00441B96"/>
    <w:rsid w:val="00441EB7"/>
    <w:rsid w:val="00442631"/>
    <w:rsid w:val="00442F76"/>
    <w:rsid w:val="004431DC"/>
    <w:rsid w:val="00443557"/>
    <w:rsid w:val="00444071"/>
    <w:rsid w:val="00444251"/>
    <w:rsid w:val="00444664"/>
    <w:rsid w:val="00444E0A"/>
    <w:rsid w:val="00444F56"/>
    <w:rsid w:val="00445423"/>
    <w:rsid w:val="00445595"/>
    <w:rsid w:val="00445811"/>
    <w:rsid w:val="00445CD7"/>
    <w:rsid w:val="00445DCB"/>
    <w:rsid w:val="00445FB3"/>
    <w:rsid w:val="0044601D"/>
    <w:rsid w:val="00446266"/>
    <w:rsid w:val="00446488"/>
    <w:rsid w:val="00446D4C"/>
    <w:rsid w:val="00447318"/>
    <w:rsid w:val="004474A8"/>
    <w:rsid w:val="00447955"/>
    <w:rsid w:val="0045028A"/>
    <w:rsid w:val="00450516"/>
    <w:rsid w:val="004506AB"/>
    <w:rsid w:val="004517AA"/>
    <w:rsid w:val="00451967"/>
    <w:rsid w:val="004525EA"/>
    <w:rsid w:val="00452B01"/>
    <w:rsid w:val="00452CAC"/>
    <w:rsid w:val="00453591"/>
    <w:rsid w:val="0045411A"/>
    <w:rsid w:val="00455061"/>
    <w:rsid w:val="004552A2"/>
    <w:rsid w:val="0045543A"/>
    <w:rsid w:val="00455E4A"/>
    <w:rsid w:val="00456037"/>
    <w:rsid w:val="0045622F"/>
    <w:rsid w:val="00456358"/>
    <w:rsid w:val="004565DE"/>
    <w:rsid w:val="0045699F"/>
    <w:rsid w:val="004574C8"/>
    <w:rsid w:val="00457565"/>
    <w:rsid w:val="00457B71"/>
    <w:rsid w:val="00457E57"/>
    <w:rsid w:val="00457FA6"/>
    <w:rsid w:val="004604E5"/>
    <w:rsid w:val="00460887"/>
    <w:rsid w:val="00460E09"/>
    <w:rsid w:val="0046183B"/>
    <w:rsid w:val="0046194E"/>
    <w:rsid w:val="00461C7D"/>
    <w:rsid w:val="00462A49"/>
    <w:rsid w:val="00462DAF"/>
    <w:rsid w:val="00462DB0"/>
    <w:rsid w:val="00462E70"/>
    <w:rsid w:val="004637D1"/>
    <w:rsid w:val="004649D0"/>
    <w:rsid w:val="00464E55"/>
    <w:rsid w:val="00464FE2"/>
    <w:rsid w:val="00465090"/>
    <w:rsid w:val="004651EF"/>
    <w:rsid w:val="00465644"/>
    <w:rsid w:val="00465997"/>
    <w:rsid w:val="004669E2"/>
    <w:rsid w:val="00467478"/>
    <w:rsid w:val="00467CCA"/>
    <w:rsid w:val="00467D75"/>
    <w:rsid w:val="004704CE"/>
    <w:rsid w:val="004705AB"/>
    <w:rsid w:val="00470638"/>
    <w:rsid w:val="00470C31"/>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632F"/>
    <w:rsid w:val="00476569"/>
    <w:rsid w:val="004767AE"/>
    <w:rsid w:val="00476961"/>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ADE"/>
    <w:rsid w:val="00481B71"/>
    <w:rsid w:val="0048226A"/>
    <w:rsid w:val="00482600"/>
    <w:rsid w:val="00483282"/>
    <w:rsid w:val="00483494"/>
    <w:rsid w:val="004838A5"/>
    <w:rsid w:val="00484559"/>
    <w:rsid w:val="004847ED"/>
    <w:rsid w:val="00484F54"/>
    <w:rsid w:val="004851CF"/>
    <w:rsid w:val="00485C81"/>
    <w:rsid w:val="00485DDA"/>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21CD"/>
    <w:rsid w:val="00492595"/>
    <w:rsid w:val="00492AE0"/>
    <w:rsid w:val="00492BC5"/>
    <w:rsid w:val="00492CF7"/>
    <w:rsid w:val="00493595"/>
    <w:rsid w:val="00493B4A"/>
    <w:rsid w:val="00493C2B"/>
    <w:rsid w:val="00494354"/>
    <w:rsid w:val="004947AF"/>
    <w:rsid w:val="0049488C"/>
    <w:rsid w:val="00494B77"/>
    <w:rsid w:val="00494EC2"/>
    <w:rsid w:val="0049531B"/>
    <w:rsid w:val="00495393"/>
    <w:rsid w:val="0049558B"/>
    <w:rsid w:val="00495754"/>
    <w:rsid w:val="004958EB"/>
    <w:rsid w:val="00495D44"/>
    <w:rsid w:val="004962D6"/>
    <w:rsid w:val="004964F1"/>
    <w:rsid w:val="00496609"/>
    <w:rsid w:val="00496E87"/>
    <w:rsid w:val="00497D7B"/>
    <w:rsid w:val="00497F95"/>
    <w:rsid w:val="004A0210"/>
    <w:rsid w:val="004A086A"/>
    <w:rsid w:val="004A08C5"/>
    <w:rsid w:val="004A0BBC"/>
    <w:rsid w:val="004A0D9C"/>
    <w:rsid w:val="004A0E7A"/>
    <w:rsid w:val="004A14AB"/>
    <w:rsid w:val="004A16BC"/>
    <w:rsid w:val="004A18DC"/>
    <w:rsid w:val="004A1BFE"/>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4B5"/>
    <w:rsid w:val="004A7526"/>
    <w:rsid w:val="004A7745"/>
    <w:rsid w:val="004A7B48"/>
    <w:rsid w:val="004A7C63"/>
    <w:rsid w:val="004B0659"/>
    <w:rsid w:val="004B0B42"/>
    <w:rsid w:val="004B17D1"/>
    <w:rsid w:val="004B17FF"/>
    <w:rsid w:val="004B1C8B"/>
    <w:rsid w:val="004B1D99"/>
    <w:rsid w:val="004B1E28"/>
    <w:rsid w:val="004B1ED8"/>
    <w:rsid w:val="004B260D"/>
    <w:rsid w:val="004B2683"/>
    <w:rsid w:val="004B2FB1"/>
    <w:rsid w:val="004B3A59"/>
    <w:rsid w:val="004B4854"/>
    <w:rsid w:val="004B49FB"/>
    <w:rsid w:val="004B553B"/>
    <w:rsid w:val="004B58BA"/>
    <w:rsid w:val="004B5AE8"/>
    <w:rsid w:val="004B5E80"/>
    <w:rsid w:val="004B6318"/>
    <w:rsid w:val="004B69EB"/>
    <w:rsid w:val="004B6BFA"/>
    <w:rsid w:val="004B6EEF"/>
    <w:rsid w:val="004B6F6A"/>
    <w:rsid w:val="004B7355"/>
    <w:rsid w:val="004B743D"/>
    <w:rsid w:val="004B74CD"/>
    <w:rsid w:val="004B7915"/>
    <w:rsid w:val="004B7C0C"/>
    <w:rsid w:val="004C0688"/>
    <w:rsid w:val="004C07A4"/>
    <w:rsid w:val="004C0957"/>
    <w:rsid w:val="004C0C44"/>
    <w:rsid w:val="004C1A74"/>
    <w:rsid w:val="004C28E9"/>
    <w:rsid w:val="004C2B4D"/>
    <w:rsid w:val="004C2CB9"/>
    <w:rsid w:val="004C2D86"/>
    <w:rsid w:val="004C2FE9"/>
    <w:rsid w:val="004C3898"/>
    <w:rsid w:val="004C4AFB"/>
    <w:rsid w:val="004C4B7D"/>
    <w:rsid w:val="004C5737"/>
    <w:rsid w:val="004C58B3"/>
    <w:rsid w:val="004C5AEA"/>
    <w:rsid w:val="004C5BBC"/>
    <w:rsid w:val="004C5DEB"/>
    <w:rsid w:val="004C733D"/>
    <w:rsid w:val="004C784D"/>
    <w:rsid w:val="004C787E"/>
    <w:rsid w:val="004C78F6"/>
    <w:rsid w:val="004C7B88"/>
    <w:rsid w:val="004C7E05"/>
    <w:rsid w:val="004D1E16"/>
    <w:rsid w:val="004D35C3"/>
    <w:rsid w:val="004D36B1"/>
    <w:rsid w:val="004D3977"/>
    <w:rsid w:val="004D44FE"/>
    <w:rsid w:val="004D4870"/>
    <w:rsid w:val="004D55A3"/>
    <w:rsid w:val="004D6007"/>
    <w:rsid w:val="004D6461"/>
    <w:rsid w:val="004D6464"/>
    <w:rsid w:val="004D7231"/>
    <w:rsid w:val="004D75CB"/>
    <w:rsid w:val="004D79A9"/>
    <w:rsid w:val="004D7A8B"/>
    <w:rsid w:val="004D7CD6"/>
    <w:rsid w:val="004D7EBD"/>
    <w:rsid w:val="004E0565"/>
    <w:rsid w:val="004E065F"/>
    <w:rsid w:val="004E066F"/>
    <w:rsid w:val="004E0C06"/>
    <w:rsid w:val="004E0CDF"/>
    <w:rsid w:val="004E0D0B"/>
    <w:rsid w:val="004E1735"/>
    <w:rsid w:val="004E1B6C"/>
    <w:rsid w:val="004E1DA9"/>
    <w:rsid w:val="004E2680"/>
    <w:rsid w:val="004E28F9"/>
    <w:rsid w:val="004E31A6"/>
    <w:rsid w:val="004E31D7"/>
    <w:rsid w:val="004E3592"/>
    <w:rsid w:val="004E3A39"/>
    <w:rsid w:val="004E3DD9"/>
    <w:rsid w:val="004E3E86"/>
    <w:rsid w:val="004E3F18"/>
    <w:rsid w:val="004E462E"/>
    <w:rsid w:val="004E4661"/>
    <w:rsid w:val="004E4A23"/>
    <w:rsid w:val="004E4AB4"/>
    <w:rsid w:val="004E4B41"/>
    <w:rsid w:val="004E540B"/>
    <w:rsid w:val="004E54B9"/>
    <w:rsid w:val="004E5638"/>
    <w:rsid w:val="004E56DC"/>
    <w:rsid w:val="004E5BA2"/>
    <w:rsid w:val="004E5DAF"/>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2CD0"/>
    <w:rsid w:val="004F324E"/>
    <w:rsid w:val="004F35CB"/>
    <w:rsid w:val="004F4117"/>
    <w:rsid w:val="004F4716"/>
    <w:rsid w:val="004F4C57"/>
    <w:rsid w:val="004F4D51"/>
    <w:rsid w:val="004F4DA3"/>
    <w:rsid w:val="004F5249"/>
    <w:rsid w:val="004F541E"/>
    <w:rsid w:val="004F557A"/>
    <w:rsid w:val="004F5BB2"/>
    <w:rsid w:val="004F6350"/>
    <w:rsid w:val="004F694F"/>
    <w:rsid w:val="004F6FB7"/>
    <w:rsid w:val="004F7156"/>
    <w:rsid w:val="004F7224"/>
    <w:rsid w:val="004F76AA"/>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CB6"/>
    <w:rsid w:val="00503EB3"/>
    <w:rsid w:val="0050417E"/>
    <w:rsid w:val="0050463E"/>
    <w:rsid w:val="00505636"/>
    <w:rsid w:val="00505B05"/>
    <w:rsid w:val="00506557"/>
    <w:rsid w:val="0050677A"/>
    <w:rsid w:val="0050713C"/>
    <w:rsid w:val="0050720D"/>
    <w:rsid w:val="00507274"/>
    <w:rsid w:val="005076AC"/>
    <w:rsid w:val="00507735"/>
    <w:rsid w:val="0051008E"/>
    <w:rsid w:val="00510660"/>
    <w:rsid w:val="005107DC"/>
    <w:rsid w:val="005108D8"/>
    <w:rsid w:val="00511509"/>
    <w:rsid w:val="005116F9"/>
    <w:rsid w:val="00512F96"/>
    <w:rsid w:val="00512FDE"/>
    <w:rsid w:val="005133E7"/>
    <w:rsid w:val="00513C16"/>
    <w:rsid w:val="005141FF"/>
    <w:rsid w:val="005142C8"/>
    <w:rsid w:val="0051440C"/>
    <w:rsid w:val="005144A9"/>
    <w:rsid w:val="0051533F"/>
    <w:rsid w:val="005153A7"/>
    <w:rsid w:val="00515574"/>
    <w:rsid w:val="0051559F"/>
    <w:rsid w:val="005163ED"/>
    <w:rsid w:val="005169B8"/>
    <w:rsid w:val="00516A45"/>
    <w:rsid w:val="00516DE7"/>
    <w:rsid w:val="005175F9"/>
    <w:rsid w:val="0051776F"/>
    <w:rsid w:val="00520563"/>
    <w:rsid w:val="005205DD"/>
    <w:rsid w:val="00520ADE"/>
    <w:rsid w:val="00521102"/>
    <w:rsid w:val="005214CE"/>
    <w:rsid w:val="005219CF"/>
    <w:rsid w:val="00523F57"/>
    <w:rsid w:val="0052463B"/>
    <w:rsid w:val="0052469A"/>
    <w:rsid w:val="00524BAF"/>
    <w:rsid w:val="00524D47"/>
    <w:rsid w:val="00525196"/>
    <w:rsid w:val="0052673F"/>
    <w:rsid w:val="00526A4E"/>
    <w:rsid w:val="00526F6C"/>
    <w:rsid w:val="00527553"/>
    <w:rsid w:val="005275F5"/>
    <w:rsid w:val="00527893"/>
    <w:rsid w:val="0052796B"/>
    <w:rsid w:val="00527C56"/>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9ED"/>
    <w:rsid w:val="00535DE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FF1"/>
    <w:rsid w:val="0054501A"/>
    <w:rsid w:val="00545238"/>
    <w:rsid w:val="00545905"/>
    <w:rsid w:val="005464C1"/>
    <w:rsid w:val="005468EF"/>
    <w:rsid w:val="00546970"/>
    <w:rsid w:val="005470FE"/>
    <w:rsid w:val="005502B3"/>
    <w:rsid w:val="005507EB"/>
    <w:rsid w:val="005508FD"/>
    <w:rsid w:val="00550A7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3F78"/>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1D4"/>
    <w:rsid w:val="0055746A"/>
    <w:rsid w:val="00560FE4"/>
    <w:rsid w:val="0056121F"/>
    <w:rsid w:val="0056122E"/>
    <w:rsid w:val="00561DFC"/>
    <w:rsid w:val="00562384"/>
    <w:rsid w:val="005633CE"/>
    <w:rsid w:val="00564127"/>
    <w:rsid w:val="00564148"/>
    <w:rsid w:val="00564302"/>
    <w:rsid w:val="0056490E"/>
    <w:rsid w:val="00564E2E"/>
    <w:rsid w:val="00564FD2"/>
    <w:rsid w:val="005651DD"/>
    <w:rsid w:val="0056538F"/>
    <w:rsid w:val="0056701D"/>
    <w:rsid w:val="005670F7"/>
    <w:rsid w:val="00567A15"/>
    <w:rsid w:val="00570248"/>
    <w:rsid w:val="00570714"/>
    <w:rsid w:val="005708CC"/>
    <w:rsid w:val="00570A9D"/>
    <w:rsid w:val="00570BD5"/>
    <w:rsid w:val="00570F77"/>
    <w:rsid w:val="00572505"/>
    <w:rsid w:val="0057295B"/>
    <w:rsid w:val="00573730"/>
    <w:rsid w:val="0057432B"/>
    <w:rsid w:val="005746DF"/>
    <w:rsid w:val="00574793"/>
    <w:rsid w:val="00574ACD"/>
    <w:rsid w:val="00574BD1"/>
    <w:rsid w:val="005754D2"/>
    <w:rsid w:val="005763A2"/>
    <w:rsid w:val="0057646B"/>
    <w:rsid w:val="00576528"/>
    <w:rsid w:val="005768DA"/>
    <w:rsid w:val="005772AC"/>
    <w:rsid w:val="0057797F"/>
    <w:rsid w:val="00577A62"/>
    <w:rsid w:val="00577C1F"/>
    <w:rsid w:val="00580424"/>
    <w:rsid w:val="005804B2"/>
    <w:rsid w:val="005808BC"/>
    <w:rsid w:val="00580AB7"/>
    <w:rsid w:val="00580B34"/>
    <w:rsid w:val="005814B6"/>
    <w:rsid w:val="00582047"/>
    <w:rsid w:val="00582114"/>
    <w:rsid w:val="005821DA"/>
    <w:rsid w:val="00582809"/>
    <w:rsid w:val="00582962"/>
    <w:rsid w:val="00582A15"/>
    <w:rsid w:val="00582CC8"/>
    <w:rsid w:val="0058328B"/>
    <w:rsid w:val="0058349F"/>
    <w:rsid w:val="005835FE"/>
    <w:rsid w:val="0058465A"/>
    <w:rsid w:val="00584871"/>
    <w:rsid w:val="00584CB8"/>
    <w:rsid w:val="00584EC7"/>
    <w:rsid w:val="00585957"/>
    <w:rsid w:val="005867AB"/>
    <w:rsid w:val="00586CF6"/>
    <w:rsid w:val="00586F43"/>
    <w:rsid w:val="00586FF6"/>
    <w:rsid w:val="005876D4"/>
    <w:rsid w:val="005877DF"/>
    <w:rsid w:val="00587915"/>
    <w:rsid w:val="0058798C"/>
    <w:rsid w:val="005900FA"/>
    <w:rsid w:val="005902A1"/>
    <w:rsid w:val="00590525"/>
    <w:rsid w:val="00590BE2"/>
    <w:rsid w:val="005913D0"/>
    <w:rsid w:val="00591465"/>
    <w:rsid w:val="00591833"/>
    <w:rsid w:val="005918B3"/>
    <w:rsid w:val="00592044"/>
    <w:rsid w:val="0059213D"/>
    <w:rsid w:val="00592164"/>
    <w:rsid w:val="0059271C"/>
    <w:rsid w:val="00592A07"/>
    <w:rsid w:val="005935A4"/>
    <w:rsid w:val="0059371D"/>
    <w:rsid w:val="00594771"/>
    <w:rsid w:val="005948C2"/>
    <w:rsid w:val="00594B03"/>
    <w:rsid w:val="005950B2"/>
    <w:rsid w:val="005958C6"/>
    <w:rsid w:val="00595DCA"/>
    <w:rsid w:val="00595DD0"/>
    <w:rsid w:val="00595DF5"/>
    <w:rsid w:val="00595EF1"/>
    <w:rsid w:val="00596B3B"/>
    <w:rsid w:val="00597160"/>
    <w:rsid w:val="0059773C"/>
    <w:rsid w:val="0059775E"/>
    <w:rsid w:val="0059779B"/>
    <w:rsid w:val="00597939"/>
    <w:rsid w:val="005A0089"/>
    <w:rsid w:val="005A054A"/>
    <w:rsid w:val="005A0597"/>
    <w:rsid w:val="005A06A6"/>
    <w:rsid w:val="005A1AC2"/>
    <w:rsid w:val="005A1E53"/>
    <w:rsid w:val="005A1EB6"/>
    <w:rsid w:val="005A209A"/>
    <w:rsid w:val="005A272F"/>
    <w:rsid w:val="005A27F6"/>
    <w:rsid w:val="005A2D72"/>
    <w:rsid w:val="005A2F56"/>
    <w:rsid w:val="005A3276"/>
    <w:rsid w:val="005A38B4"/>
    <w:rsid w:val="005A39C7"/>
    <w:rsid w:val="005A3B62"/>
    <w:rsid w:val="005A4CDD"/>
    <w:rsid w:val="005A4F0B"/>
    <w:rsid w:val="005A514C"/>
    <w:rsid w:val="005A5622"/>
    <w:rsid w:val="005A5845"/>
    <w:rsid w:val="005A5D98"/>
    <w:rsid w:val="005A5EAA"/>
    <w:rsid w:val="005A5EC0"/>
    <w:rsid w:val="005A662D"/>
    <w:rsid w:val="005A7554"/>
    <w:rsid w:val="005A78AE"/>
    <w:rsid w:val="005A7CBF"/>
    <w:rsid w:val="005A7E19"/>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3D02"/>
    <w:rsid w:val="005B4183"/>
    <w:rsid w:val="005B42EE"/>
    <w:rsid w:val="005B474F"/>
    <w:rsid w:val="005B5198"/>
    <w:rsid w:val="005B52EB"/>
    <w:rsid w:val="005B56FD"/>
    <w:rsid w:val="005B66C7"/>
    <w:rsid w:val="005B67D9"/>
    <w:rsid w:val="005B6F83"/>
    <w:rsid w:val="005B6FCB"/>
    <w:rsid w:val="005B7517"/>
    <w:rsid w:val="005B79B0"/>
    <w:rsid w:val="005B7C66"/>
    <w:rsid w:val="005C0236"/>
    <w:rsid w:val="005C02BA"/>
    <w:rsid w:val="005C0305"/>
    <w:rsid w:val="005C0602"/>
    <w:rsid w:val="005C082E"/>
    <w:rsid w:val="005C0838"/>
    <w:rsid w:val="005C087A"/>
    <w:rsid w:val="005C09A3"/>
    <w:rsid w:val="005C0D2B"/>
    <w:rsid w:val="005C15EF"/>
    <w:rsid w:val="005C194A"/>
    <w:rsid w:val="005C1A36"/>
    <w:rsid w:val="005C2EBA"/>
    <w:rsid w:val="005C544C"/>
    <w:rsid w:val="005C562E"/>
    <w:rsid w:val="005C5997"/>
    <w:rsid w:val="005C6199"/>
    <w:rsid w:val="005C6D06"/>
    <w:rsid w:val="005C74FB"/>
    <w:rsid w:val="005C775D"/>
    <w:rsid w:val="005C7B84"/>
    <w:rsid w:val="005D04B5"/>
    <w:rsid w:val="005D0A33"/>
    <w:rsid w:val="005D0BD2"/>
    <w:rsid w:val="005D10CC"/>
    <w:rsid w:val="005D13A6"/>
    <w:rsid w:val="005D1602"/>
    <w:rsid w:val="005D168C"/>
    <w:rsid w:val="005D1697"/>
    <w:rsid w:val="005D1AEF"/>
    <w:rsid w:val="005D1F4A"/>
    <w:rsid w:val="005D2172"/>
    <w:rsid w:val="005D21F2"/>
    <w:rsid w:val="005D2F62"/>
    <w:rsid w:val="005D481A"/>
    <w:rsid w:val="005D48FF"/>
    <w:rsid w:val="005D57E4"/>
    <w:rsid w:val="005D60BF"/>
    <w:rsid w:val="005D6AF5"/>
    <w:rsid w:val="005D6B46"/>
    <w:rsid w:val="005D6B62"/>
    <w:rsid w:val="005D6C1B"/>
    <w:rsid w:val="005D6FA1"/>
    <w:rsid w:val="005D6FE1"/>
    <w:rsid w:val="005D7398"/>
    <w:rsid w:val="005E00E8"/>
    <w:rsid w:val="005E031F"/>
    <w:rsid w:val="005E094C"/>
    <w:rsid w:val="005E09FD"/>
    <w:rsid w:val="005E0CAE"/>
    <w:rsid w:val="005E1566"/>
    <w:rsid w:val="005E17C9"/>
    <w:rsid w:val="005E1D60"/>
    <w:rsid w:val="005E2306"/>
    <w:rsid w:val="005E385F"/>
    <w:rsid w:val="005E3D84"/>
    <w:rsid w:val="005E4A5A"/>
    <w:rsid w:val="005E592B"/>
    <w:rsid w:val="005E59BE"/>
    <w:rsid w:val="005E5B81"/>
    <w:rsid w:val="005E5EEF"/>
    <w:rsid w:val="005E6010"/>
    <w:rsid w:val="005E629D"/>
    <w:rsid w:val="005E6405"/>
    <w:rsid w:val="005E659A"/>
    <w:rsid w:val="005E698E"/>
    <w:rsid w:val="005E6C18"/>
    <w:rsid w:val="005E6D10"/>
    <w:rsid w:val="005E7303"/>
    <w:rsid w:val="005E77BF"/>
    <w:rsid w:val="005E7C4F"/>
    <w:rsid w:val="005F025E"/>
    <w:rsid w:val="005F065D"/>
    <w:rsid w:val="005F1319"/>
    <w:rsid w:val="005F147D"/>
    <w:rsid w:val="005F1482"/>
    <w:rsid w:val="005F1957"/>
    <w:rsid w:val="005F1A1D"/>
    <w:rsid w:val="005F1E6F"/>
    <w:rsid w:val="005F2BE2"/>
    <w:rsid w:val="005F2CB1"/>
    <w:rsid w:val="005F3025"/>
    <w:rsid w:val="005F3492"/>
    <w:rsid w:val="005F3A40"/>
    <w:rsid w:val="005F3B0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F0C"/>
    <w:rsid w:val="0060224B"/>
    <w:rsid w:val="0060283C"/>
    <w:rsid w:val="0060294D"/>
    <w:rsid w:val="00602D23"/>
    <w:rsid w:val="00602D75"/>
    <w:rsid w:val="00602FA7"/>
    <w:rsid w:val="00602FE4"/>
    <w:rsid w:val="0060382D"/>
    <w:rsid w:val="0060383E"/>
    <w:rsid w:val="00603EDF"/>
    <w:rsid w:val="0060493F"/>
    <w:rsid w:val="00604C00"/>
    <w:rsid w:val="00604E76"/>
    <w:rsid w:val="00604F14"/>
    <w:rsid w:val="00605556"/>
    <w:rsid w:val="0060555A"/>
    <w:rsid w:val="006058A6"/>
    <w:rsid w:val="00605911"/>
    <w:rsid w:val="00605FA2"/>
    <w:rsid w:val="006066F2"/>
    <w:rsid w:val="00606815"/>
    <w:rsid w:val="00606D1F"/>
    <w:rsid w:val="00606D3D"/>
    <w:rsid w:val="00606FDF"/>
    <w:rsid w:val="00607229"/>
    <w:rsid w:val="006073A4"/>
    <w:rsid w:val="00607F56"/>
    <w:rsid w:val="0061007D"/>
    <w:rsid w:val="00611276"/>
    <w:rsid w:val="00611434"/>
    <w:rsid w:val="006116A6"/>
    <w:rsid w:val="00611A77"/>
    <w:rsid w:val="00611B83"/>
    <w:rsid w:val="00611F85"/>
    <w:rsid w:val="00612140"/>
    <w:rsid w:val="0061297E"/>
    <w:rsid w:val="00612B4F"/>
    <w:rsid w:val="00612D39"/>
    <w:rsid w:val="00612DE0"/>
    <w:rsid w:val="00612DFE"/>
    <w:rsid w:val="00612F14"/>
    <w:rsid w:val="00613257"/>
    <w:rsid w:val="006137B1"/>
    <w:rsid w:val="00613C31"/>
    <w:rsid w:val="00613DAD"/>
    <w:rsid w:val="00613E43"/>
    <w:rsid w:val="006147CD"/>
    <w:rsid w:val="00615904"/>
    <w:rsid w:val="006160F2"/>
    <w:rsid w:val="00616730"/>
    <w:rsid w:val="006167B5"/>
    <w:rsid w:val="00616B93"/>
    <w:rsid w:val="00617943"/>
    <w:rsid w:val="00617B82"/>
    <w:rsid w:val="00617E41"/>
    <w:rsid w:val="00620194"/>
    <w:rsid w:val="006208EA"/>
    <w:rsid w:val="00620A71"/>
    <w:rsid w:val="00620D49"/>
    <w:rsid w:val="00620D80"/>
    <w:rsid w:val="00621656"/>
    <w:rsid w:val="006219BB"/>
    <w:rsid w:val="00621C35"/>
    <w:rsid w:val="006226E0"/>
    <w:rsid w:val="00622CBA"/>
    <w:rsid w:val="00623100"/>
    <w:rsid w:val="006233E7"/>
    <w:rsid w:val="006234A6"/>
    <w:rsid w:val="00623750"/>
    <w:rsid w:val="00623D92"/>
    <w:rsid w:val="00624070"/>
    <w:rsid w:val="006243C8"/>
    <w:rsid w:val="00624461"/>
    <w:rsid w:val="0062448E"/>
    <w:rsid w:val="006249DC"/>
    <w:rsid w:val="0062569F"/>
    <w:rsid w:val="00625CBD"/>
    <w:rsid w:val="00625D28"/>
    <w:rsid w:val="0062613C"/>
    <w:rsid w:val="006262D0"/>
    <w:rsid w:val="00626B8F"/>
    <w:rsid w:val="006272F1"/>
    <w:rsid w:val="006274AB"/>
    <w:rsid w:val="00630001"/>
    <w:rsid w:val="006301EB"/>
    <w:rsid w:val="006304D8"/>
    <w:rsid w:val="00630A9F"/>
    <w:rsid w:val="00630F29"/>
    <w:rsid w:val="006310AD"/>
    <w:rsid w:val="006310D3"/>
    <w:rsid w:val="0063117B"/>
    <w:rsid w:val="006311B3"/>
    <w:rsid w:val="0063126C"/>
    <w:rsid w:val="0063135F"/>
    <w:rsid w:val="00631565"/>
    <w:rsid w:val="00632110"/>
    <w:rsid w:val="006325D4"/>
    <w:rsid w:val="006327EB"/>
    <w:rsid w:val="0063284C"/>
    <w:rsid w:val="00632A14"/>
    <w:rsid w:val="00633271"/>
    <w:rsid w:val="0063366A"/>
    <w:rsid w:val="00633B74"/>
    <w:rsid w:val="00634D3C"/>
    <w:rsid w:val="00635037"/>
    <w:rsid w:val="00635609"/>
    <w:rsid w:val="006357EA"/>
    <w:rsid w:val="00635994"/>
    <w:rsid w:val="006360C2"/>
    <w:rsid w:val="00636398"/>
    <w:rsid w:val="00636453"/>
    <w:rsid w:val="006368D3"/>
    <w:rsid w:val="0063707E"/>
    <w:rsid w:val="00637557"/>
    <w:rsid w:val="006377EC"/>
    <w:rsid w:val="006378CE"/>
    <w:rsid w:val="006379B0"/>
    <w:rsid w:val="00637A5F"/>
    <w:rsid w:val="00640471"/>
    <w:rsid w:val="00640C69"/>
    <w:rsid w:val="006411CA"/>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4F"/>
    <w:rsid w:val="0064417F"/>
    <w:rsid w:val="00644264"/>
    <w:rsid w:val="0064455E"/>
    <w:rsid w:val="00644825"/>
    <w:rsid w:val="00645389"/>
    <w:rsid w:val="00645667"/>
    <w:rsid w:val="00645D44"/>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61"/>
    <w:rsid w:val="006520B0"/>
    <w:rsid w:val="006523A8"/>
    <w:rsid w:val="00652A08"/>
    <w:rsid w:val="00652D7C"/>
    <w:rsid w:val="00652E2F"/>
    <w:rsid w:val="006535EC"/>
    <w:rsid w:val="00653821"/>
    <w:rsid w:val="00653DCB"/>
    <w:rsid w:val="00653F4E"/>
    <w:rsid w:val="0065430D"/>
    <w:rsid w:val="00654A95"/>
    <w:rsid w:val="00655295"/>
    <w:rsid w:val="006552CF"/>
    <w:rsid w:val="00655733"/>
    <w:rsid w:val="00655ACD"/>
    <w:rsid w:val="00656A92"/>
    <w:rsid w:val="00656DDE"/>
    <w:rsid w:val="006571C0"/>
    <w:rsid w:val="00657617"/>
    <w:rsid w:val="00657BD1"/>
    <w:rsid w:val="00657E14"/>
    <w:rsid w:val="0066011D"/>
    <w:rsid w:val="006607C0"/>
    <w:rsid w:val="006613A6"/>
    <w:rsid w:val="0066149B"/>
    <w:rsid w:val="00661E84"/>
    <w:rsid w:val="00661EE4"/>
    <w:rsid w:val="00661F56"/>
    <w:rsid w:val="006627A2"/>
    <w:rsid w:val="0066294D"/>
    <w:rsid w:val="00662EAC"/>
    <w:rsid w:val="006634E6"/>
    <w:rsid w:val="00663DC5"/>
    <w:rsid w:val="006645D4"/>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41F2"/>
    <w:rsid w:val="006743A7"/>
    <w:rsid w:val="0067469A"/>
    <w:rsid w:val="00674CC3"/>
    <w:rsid w:val="0067528F"/>
    <w:rsid w:val="00675993"/>
    <w:rsid w:val="006759F4"/>
    <w:rsid w:val="00675B4B"/>
    <w:rsid w:val="00675BD0"/>
    <w:rsid w:val="00675C43"/>
    <w:rsid w:val="00675C72"/>
    <w:rsid w:val="00676681"/>
    <w:rsid w:val="006768E9"/>
    <w:rsid w:val="006769C5"/>
    <w:rsid w:val="00676DA0"/>
    <w:rsid w:val="006771F9"/>
    <w:rsid w:val="006775D4"/>
    <w:rsid w:val="006776D7"/>
    <w:rsid w:val="006777EC"/>
    <w:rsid w:val="00677B52"/>
    <w:rsid w:val="00677C31"/>
    <w:rsid w:val="0068034D"/>
    <w:rsid w:val="006806FA"/>
    <w:rsid w:val="0068080A"/>
    <w:rsid w:val="00681003"/>
    <w:rsid w:val="006813F4"/>
    <w:rsid w:val="0068174B"/>
    <w:rsid w:val="006817C9"/>
    <w:rsid w:val="0068180E"/>
    <w:rsid w:val="0068221D"/>
    <w:rsid w:val="00682826"/>
    <w:rsid w:val="00682D35"/>
    <w:rsid w:val="00682FE0"/>
    <w:rsid w:val="00683EBD"/>
    <w:rsid w:val="00683ECE"/>
    <w:rsid w:val="00683F8F"/>
    <w:rsid w:val="0068411C"/>
    <w:rsid w:val="00684288"/>
    <w:rsid w:val="006842DA"/>
    <w:rsid w:val="00684888"/>
    <w:rsid w:val="00684BC5"/>
    <w:rsid w:val="00684C80"/>
    <w:rsid w:val="006858EE"/>
    <w:rsid w:val="00685A6A"/>
    <w:rsid w:val="00685DDA"/>
    <w:rsid w:val="00686065"/>
    <w:rsid w:val="0068658F"/>
    <w:rsid w:val="00686707"/>
    <w:rsid w:val="0068671A"/>
    <w:rsid w:val="0068683D"/>
    <w:rsid w:val="00686EDF"/>
    <w:rsid w:val="006871E3"/>
    <w:rsid w:val="00690B63"/>
    <w:rsid w:val="00690D53"/>
    <w:rsid w:val="00690E10"/>
    <w:rsid w:val="006912B6"/>
    <w:rsid w:val="006915B0"/>
    <w:rsid w:val="006918E2"/>
    <w:rsid w:val="00692709"/>
    <w:rsid w:val="0069324D"/>
    <w:rsid w:val="00693791"/>
    <w:rsid w:val="00693FFC"/>
    <w:rsid w:val="0069408A"/>
    <w:rsid w:val="00694B8A"/>
    <w:rsid w:val="00694EA1"/>
    <w:rsid w:val="00695B85"/>
    <w:rsid w:val="00695CAA"/>
    <w:rsid w:val="00695FC2"/>
    <w:rsid w:val="00695FF2"/>
    <w:rsid w:val="00696949"/>
    <w:rsid w:val="00696B14"/>
    <w:rsid w:val="00697052"/>
    <w:rsid w:val="00697060"/>
    <w:rsid w:val="006973EF"/>
    <w:rsid w:val="006974FC"/>
    <w:rsid w:val="00697F41"/>
    <w:rsid w:val="006A0004"/>
    <w:rsid w:val="006A05E6"/>
    <w:rsid w:val="006A0A89"/>
    <w:rsid w:val="006A102C"/>
    <w:rsid w:val="006A1352"/>
    <w:rsid w:val="006A17F3"/>
    <w:rsid w:val="006A1EB1"/>
    <w:rsid w:val="006A20CE"/>
    <w:rsid w:val="006A2356"/>
    <w:rsid w:val="006A25FF"/>
    <w:rsid w:val="006A296B"/>
    <w:rsid w:val="006A30D0"/>
    <w:rsid w:val="006A3797"/>
    <w:rsid w:val="006A423E"/>
    <w:rsid w:val="006A46FB"/>
    <w:rsid w:val="006A54A2"/>
    <w:rsid w:val="006A5664"/>
    <w:rsid w:val="006A59B2"/>
    <w:rsid w:val="006A5B61"/>
    <w:rsid w:val="006A5BE4"/>
    <w:rsid w:val="006A5CE1"/>
    <w:rsid w:val="006A5E28"/>
    <w:rsid w:val="006A5F6A"/>
    <w:rsid w:val="006A6183"/>
    <w:rsid w:val="006A697B"/>
    <w:rsid w:val="006A73C7"/>
    <w:rsid w:val="006A73FC"/>
    <w:rsid w:val="006A77B6"/>
    <w:rsid w:val="006A798D"/>
    <w:rsid w:val="006A7AFF"/>
    <w:rsid w:val="006A7CAA"/>
    <w:rsid w:val="006B0032"/>
    <w:rsid w:val="006B02E5"/>
    <w:rsid w:val="006B0743"/>
    <w:rsid w:val="006B0E92"/>
    <w:rsid w:val="006B109B"/>
    <w:rsid w:val="006B1816"/>
    <w:rsid w:val="006B1A6C"/>
    <w:rsid w:val="006B1EA8"/>
    <w:rsid w:val="006B2099"/>
    <w:rsid w:val="006B22C9"/>
    <w:rsid w:val="006B33C4"/>
    <w:rsid w:val="006B3FE8"/>
    <w:rsid w:val="006B40CE"/>
    <w:rsid w:val="006B424B"/>
    <w:rsid w:val="006B458A"/>
    <w:rsid w:val="006B49B7"/>
    <w:rsid w:val="006B4DCD"/>
    <w:rsid w:val="006B50CF"/>
    <w:rsid w:val="006B5A97"/>
    <w:rsid w:val="006B5B47"/>
    <w:rsid w:val="006B6277"/>
    <w:rsid w:val="006B62B3"/>
    <w:rsid w:val="006B6B5F"/>
    <w:rsid w:val="006B6E5C"/>
    <w:rsid w:val="006B6FE1"/>
    <w:rsid w:val="006B74A4"/>
    <w:rsid w:val="006B7646"/>
    <w:rsid w:val="006B7715"/>
    <w:rsid w:val="006B7A80"/>
    <w:rsid w:val="006B7EA7"/>
    <w:rsid w:val="006C00C1"/>
    <w:rsid w:val="006C010F"/>
    <w:rsid w:val="006C03B8"/>
    <w:rsid w:val="006C03D7"/>
    <w:rsid w:val="006C042E"/>
    <w:rsid w:val="006C04A3"/>
    <w:rsid w:val="006C0647"/>
    <w:rsid w:val="006C0C32"/>
    <w:rsid w:val="006C0D88"/>
    <w:rsid w:val="006C1464"/>
    <w:rsid w:val="006C15AE"/>
    <w:rsid w:val="006C1D55"/>
    <w:rsid w:val="006C23E5"/>
    <w:rsid w:val="006C34AF"/>
    <w:rsid w:val="006C4772"/>
    <w:rsid w:val="006C48F7"/>
    <w:rsid w:val="006C5085"/>
    <w:rsid w:val="006C51C8"/>
    <w:rsid w:val="006C52A2"/>
    <w:rsid w:val="006C5B78"/>
    <w:rsid w:val="006C5D96"/>
    <w:rsid w:val="006C5EC9"/>
    <w:rsid w:val="006C6059"/>
    <w:rsid w:val="006C61A8"/>
    <w:rsid w:val="006C66C6"/>
    <w:rsid w:val="006C6B8F"/>
    <w:rsid w:val="006C72A2"/>
    <w:rsid w:val="006C7522"/>
    <w:rsid w:val="006C7B7B"/>
    <w:rsid w:val="006C7FE8"/>
    <w:rsid w:val="006C7FFE"/>
    <w:rsid w:val="006D03E6"/>
    <w:rsid w:val="006D072A"/>
    <w:rsid w:val="006D0A11"/>
    <w:rsid w:val="006D1545"/>
    <w:rsid w:val="006D17E0"/>
    <w:rsid w:val="006D18C3"/>
    <w:rsid w:val="006D1A5D"/>
    <w:rsid w:val="006D1C20"/>
    <w:rsid w:val="006D22C7"/>
    <w:rsid w:val="006D33E5"/>
    <w:rsid w:val="006D35D4"/>
    <w:rsid w:val="006D38D1"/>
    <w:rsid w:val="006D39F5"/>
    <w:rsid w:val="006D3CB6"/>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FC0"/>
    <w:rsid w:val="006E1461"/>
    <w:rsid w:val="006E193A"/>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3D"/>
    <w:rsid w:val="006E6A09"/>
    <w:rsid w:val="006E6A62"/>
    <w:rsid w:val="006E6A8D"/>
    <w:rsid w:val="006E71FA"/>
    <w:rsid w:val="006E7D3B"/>
    <w:rsid w:val="006F009A"/>
    <w:rsid w:val="006F0EC4"/>
    <w:rsid w:val="006F0ECE"/>
    <w:rsid w:val="006F1803"/>
    <w:rsid w:val="006F1AB6"/>
    <w:rsid w:val="006F1B70"/>
    <w:rsid w:val="006F2B1D"/>
    <w:rsid w:val="006F2E82"/>
    <w:rsid w:val="006F3131"/>
    <w:rsid w:val="006F341D"/>
    <w:rsid w:val="006F3CDE"/>
    <w:rsid w:val="006F4F3D"/>
    <w:rsid w:val="006F5467"/>
    <w:rsid w:val="006F5880"/>
    <w:rsid w:val="006F58D4"/>
    <w:rsid w:val="006F5993"/>
    <w:rsid w:val="006F60D8"/>
    <w:rsid w:val="006F615D"/>
    <w:rsid w:val="006F6489"/>
    <w:rsid w:val="006F6523"/>
    <w:rsid w:val="006F6579"/>
    <w:rsid w:val="006F6582"/>
    <w:rsid w:val="006F68BE"/>
    <w:rsid w:val="0070051C"/>
    <w:rsid w:val="0070108D"/>
    <w:rsid w:val="007010A1"/>
    <w:rsid w:val="007010E2"/>
    <w:rsid w:val="00701708"/>
    <w:rsid w:val="0070219D"/>
    <w:rsid w:val="007021C8"/>
    <w:rsid w:val="00702869"/>
    <w:rsid w:val="00702F36"/>
    <w:rsid w:val="0070346E"/>
    <w:rsid w:val="00703CA9"/>
    <w:rsid w:val="00703E7E"/>
    <w:rsid w:val="00704EDB"/>
    <w:rsid w:val="00705068"/>
    <w:rsid w:val="007050FB"/>
    <w:rsid w:val="0070537C"/>
    <w:rsid w:val="00705442"/>
    <w:rsid w:val="0070557E"/>
    <w:rsid w:val="007055C3"/>
    <w:rsid w:val="00706101"/>
    <w:rsid w:val="007062E5"/>
    <w:rsid w:val="00706388"/>
    <w:rsid w:val="007064A5"/>
    <w:rsid w:val="00706A45"/>
    <w:rsid w:val="00706C3C"/>
    <w:rsid w:val="00706CF4"/>
    <w:rsid w:val="00707072"/>
    <w:rsid w:val="007073E5"/>
    <w:rsid w:val="007079B8"/>
    <w:rsid w:val="00707A81"/>
    <w:rsid w:val="00707D61"/>
    <w:rsid w:val="00710823"/>
    <w:rsid w:val="00710C6F"/>
    <w:rsid w:val="0071176C"/>
    <w:rsid w:val="0071180F"/>
    <w:rsid w:val="00712287"/>
    <w:rsid w:val="00712772"/>
    <w:rsid w:val="0071280A"/>
    <w:rsid w:val="007128CA"/>
    <w:rsid w:val="00712A48"/>
    <w:rsid w:val="00712BD4"/>
    <w:rsid w:val="00713459"/>
    <w:rsid w:val="00714299"/>
    <w:rsid w:val="007142A4"/>
    <w:rsid w:val="007148D3"/>
    <w:rsid w:val="00714D87"/>
    <w:rsid w:val="00714F08"/>
    <w:rsid w:val="0071515D"/>
    <w:rsid w:val="00715B93"/>
    <w:rsid w:val="00715B9A"/>
    <w:rsid w:val="00715F7F"/>
    <w:rsid w:val="00715FD6"/>
    <w:rsid w:val="0071714D"/>
    <w:rsid w:val="00717260"/>
    <w:rsid w:val="007218DB"/>
    <w:rsid w:val="007219AF"/>
    <w:rsid w:val="00721AF2"/>
    <w:rsid w:val="00722573"/>
    <w:rsid w:val="007229C9"/>
    <w:rsid w:val="007229F9"/>
    <w:rsid w:val="00723EEA"/>
    <w:rsid w:val="00724410"/>
    <w:rsid w:val="00724935"/>
    <w:rsid w:val="00724D2C"/>
    <w:rsid w:val="007257D0"/>
    <w:rsid w:val="00725B20"/>
    <w:rsid w:val="00725F02"/>
    <w:rsid w:val="007262D5"/>
    <w:rsid w:val="00726EA6"/>
    <w:rsid w:val="00727208"/>
    <w:rsid w:val="00727547"/>
    <w:rsid w:val="00727599"/>
    <w:rsid w:val="007275BD"/>
    <w:rsid w:val="00727680"/>
    <w:rsid w:val="0073036C"/>
    <w:rsid w:val="0073053B"/>
    <w:rsid w:val="0073078C"/>
    <w:rsid w:val="00730F5E"/>
    <w:rsid w:val="007311B2"/>
    <w:rsid w:val="00732648"/>
    <w:rsid w:val="00732A61"/>
    <w:rsid w:val="00732DC0"/>
    <w:rsid w:val="00733DF6"/>
    <w:rsid w:val="00733E01"/>
    <w:rsid w:val="00733FCD"/>
    <w:rsid w:val="0073415A"/>
    <w:rsid w:val="007341C9"/>
    <w:rsid w:val="007345F8"/>
    <w:rsid w:val="007348B1"/>
    <w:rsid w:val="00734FF7"/>
    <w:rsid w:val="007359CC"/>
    <w:rsid w:val="00735A51"/>
    <w:rsid w:val="00735B10"/>
    <w:rsid w:val="007362A6"/>
    <w:rsid w:val="007365E4"/>
    <w:rsid w:val="00736D7D"/>
    <w:rsid w:val="0073715D"/>
    <w:rsid w:val="007374CD"/>
    <w:rsid w:val="00737C03"/>
    <w:rsid w:val="00740CC8"/>
    <w:rsid w:val="00740E58"/>
    <w:rsid w:val="0074136F"/>
    <w:rsid w:val="00741ABD"/>
    <w:rsid w:val="00741AC2"/>
    <w:rsid w:val="00741B72"/>
    <w:rsid w:val="0074390C"/>
    <w:rsid w:val="00743BFF"/>
    <w:rsid w:val="00743D9A"/>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894"/>
    <w:rsid w:val="00747284"/>
    <w:rsid w:val="00747482"/>
    <w:rsid w:val="007474AC"/>
    <w:rsid w:val="007476F6"/>
    <w:rsid w:val="00747CF0"/>
    <w:rsid w:val="00747D8B"/>
    <w:rsid w:val="00747E9F"/>
    <w:rsid w:val="007501F2"/>
    <w:rsid w:val="00750379"/>
    <w:rsid w:val="007503FC"/>
    <w:rsid w:val="00750C70"/>
    <w:rsid w:val="00750DE5"/>
    <w:rsid w:val="00751228"/>
    <w:rsid w:val="0075123C"/>
    <w:rsid w:val="00751836"/>
    <w:rsid w:val="0075186A"/>
    <w:rsid w:val="007519EE"/>
    <w:rsid w:val="00751BEF"/>
    <w:rsid w:val="00752016"/>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B88"/>
    <w:rsid w:val="00757E2F"/>
    <w:rsid w:val="007604B2"/>
    <w:rsid w:val="00760B26"/>
    <w:rsid w:val="00761526"/>
    <w:rsid w:val="0076166B"/>
    <w:rsid w:val="007619EC"/>
    <w:rsid w:val="00761EA0"/>
    <w:rsid w:val="0076200E"/>
    <w:rsid w:val="0076221D"/>
    <w:rsid w:val="0076233E"/>
    <w:rsid w:val="0076272F"/>
    <w:rsid w:val="00762860"/>
    <w:rsid w:val="00762883"/>
    <w:rsid w:val="00762AFD"/>
    <w:rsid w:val="00763E47"/>
    <w:rsid w:val="00763E86"/>
    <w:rsid w:val="007646E5"/>
    <w:rsid w:val="007649BA"/>
    <w:rsid w:val="00764D11"/>
    <w:rsid w:val="00765281"/>
    <w:rsid w:val="00765A33"/>
    <w:rsid w:val="00766642"/>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2EBD"/>
    <w:rsid w:val="00773986"/>
    <w:rsid w:val="00773E58"/>
    <w:rsid w:val="007749A8"/>
    <w:rsid w:val="00774FB1"/>
    <w:rsid w:val="007750F5"/>
    <w:rsid w:val="007755F2"/>
    <w:rsid w:val="00776078"/>
    <w:rsid w:val="0077628D"/>
    <w:rsid w:val="00776971"/>
    <w:rsid w:val="007770A8"/>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1AED"/>
    <w:rsid w:val="00791B2C"/>
    <w:rsid w:val="00791FCB"/>
    <w:rsid w:val="007923B3"/>
    <w:rsid w:val="007925EA"/>
    <w:rsid w:val="0079273F"/>
    <w:rsid w:val="00792D7B"/>
    <w:rsid w:val="00792DDA"/>
    <w:rsid w:val="0079354F"/>
    <w:rsid w:val="007938B9"/>
    <w:rsid w:val="00793CD8"/>
    <w:rsid w:val="00794078"/>
    <w:rsid w:val="007941E8"/>
    <w:rsid w:val="00794370"/>
    <w:rsid w:val="00795C92"/>
    <w:rsid w:val="00795DED"/>
    <w:rsid w:val="007961B5"/>
    <w:rsid w:val="00796231"/>
    <w:rsid w:val="00797220"/>
    <w:rsid w:val="00797743"/>
    <w:rsid w:val="00797777"/>
    <w:rsid w:val="00797817"/>
    <w:rsid w:val="00797A24"/>
    <w:rsid w:val="007A015C"/>
    <w:rsid w:val="007A03C2"/>
    <w:rsid w:val="007A05F0"/>
    <w:rsid w:val="007A07C8"/>
    <w:rsid w:val="007A0A63"/>
    <w:rsid w:val="007A1386"/>
    <w:rsid w:val="007A13EB"/>
    <w:rsid w:val="007A19EF"/>
    <w:rsid w:val="007A1A97"/>
    <w:rsid w:val="007A1B70"/>
    <w:rsid w:val="007A1CB3"/>
    <w:rsid w:val="007A1D7D"/>
    <w:rsid w:val="007A209F"/>
    <w:rsid w:val="007A2EB1"/>
    <w:rsid w:val="007A306F"/>
    <w:rsid w:val="007A3429"/>
    <w:rsid w:val="007A3628"/>
    <w:rsid w:val="007A395F"/>
    <w:rsid w:val="007A3CAC"/>
    <w:rsid w:val="007A410C"/>
    <w:rsid w:val="007A43A6"/>
    <w:rsid w:val="007A455C"/>
    <w:rsid w:val="007A4797"/>
    <w:rsid w:val="007A4AA7"/>
    <w:rsid w:val="007A4DBE"/>
    <w:rsid w:val="007A541A"/>
    <w:rsid w:val="007A5491"/>
    <w:rsid w:val="007A58A6"/>
    <w:rsid w:val="007A5CC1"/>
    <w:rsid w:val="007A5E11"/>
    <w:rsid w:val="007A62AE"/>
    <w:rsid w:val="007A62B7"/>
    <w:rsid w:val="007A68A0"/>
    <w:rsid w:val="007A699D"/>
    <w:rsid w:val="007A6CF5"/>
    <w:rsid w:val="007B02CB"/>
    <w:rsid w:val="007B05D6"/>
    <w:rsid w:val="007B1179"/>
    <w:rsid w:val="007B152A"/>
    <w:rsid w:val="007B1783"/>
    <w:rsid w:val="007B1DF4"/>
    <w:rsid w:val="007B242B"/>
    <w:rsid w:val="007B326A"/>
    <w:rsid w:val="007B35B2"/>
    <w:rsid w:val="007B376F"/>
    <w:rsid w:val="007B3777"/>
    <w:rsid w:val="007B3D2D"/>
    <w:rsid w:val="007B4694"/>
    <w:rsid w:val="007B50AE"/>
    <w:rsid w:val="007B51DF"/>
    <w:rsid w:val="007B53DD"/>
    <w:rsid w:val="007B5530"/>
    <w:rsid w:val="007B5748"/>
    <w:rsid w:val="007B5869"/>
    <w:rsid w:val="007B5C32"/>
    <w:rsid w:val="007B5F75"/>
    <w:rsid w:val="007B6457"/>
    <w:rsid w:val="007B68A7"/>
    <w:rsid w:val="007B6CA8"/>
    <w:rsid w:val="007B6CBB"/>
    <w:rsid w:val="007B70D2"/>
    <w:rsid w:val="007B781F"/>
    <w:rsid w:val="007B7EEF"/>
    <w:rsid w:val="007B7F5A"/>
    <w:rsid w:val="007C0266"/>
    <w:rsid w:val="007C02E6"/>
    <w:rsid w:val="007C05DD"/>
    <w:rsid w:val="007C0C0B"/>
    <w:rsid w:val="007C0E8E"/>
    <w:rsid w:val="007C1839"/>
    <w:rsid w:val="007C1875"/>
    <w:rsid w:val="007C1A5A"/>
    <w:rsid w:val="007C1E45"/>
    <w:rsid w:val="007C2E6C"/>
    <w:rsid w:val="007C3369"/>
    <w:rsid w:val="007C347E"/>
    <w:rsid w:val="007C3D18"/>
    <w:rsid w:val="007C5959"/>
    <w:rsid w:val="007C5FEA"/>
    <w:rsid w:val="007C60BF"/>
    <w:rsid w:val="007C6177"/>
    <w:rsid w:val="007C6558"/>
    <w:rsid w:val="007C6A07"/>
    <w:rsid w:val="007C6C2F"/>
    <w:rsid w:val="007C7189"/>
    <w:rsid w:val="007C71FD"/>
    <w:rsid w:val="007C74F4"/>
    <w:rsid w:val="007C75A1"/>
    <w:rsid w:val="007C7750"/>
    <w:rsid w:val="007C77A5"/>
    <w:rsid w:val="007D0088"/>
    <w:rsid w:val="007D01A8"/>
    <w:rsid w:val="007D04E5"/>
    <w:rsid w:val="007D06DF"/>
    <w:rsid w:val="007D07BA"/>
    <w:rsid w:val="007D1408"/>
    <w:rsid w:val="007D16E2"/>
    <w:rsid w:val="007D1A03"/>
    <w:rsid w:val="007D2E4D"/>
    <w:rsid w:val="007D31CB"/>
    <w:rsid w:val="007D412E"/>
    <w:rsid w:val="007D4866"/>
    <w:rsid w:val="007D4B22"/>
    <w:rsid w:val="007D4EC1"/>
    <w:rsid w:val="007D57BF"/>
    <w:rsid w:val="007D5901"/>
    <w:rsid w:val="007D6045"/>
    <w:rsid w:val="007D6376"/>
    <w:rsid w:val="007D6A04"/>
    <w:rsid w:val="007D6D4C"/>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972"/>
    <w:rsid w:val="007E2B6B"/>
    <w:rsid w:val="007E2F83"/>
    <w:rsid w:val="007E352A"/>
    <w:rsid w:val="007E3F7C"/>
    <w:rsid w:val="007E4610"/>
    <w:rsid w:val="007E4715"/>
    <w:rsid w:val="007E4945"/>
    <w:rsid w:val="007E505B"/>
    <w:rsid w:val="007E57CB"/>
    <w:rsid w:val="007E5A61"/>
    <w:rsid w:val="007E688A"/>
    <w:rsid w:val="007E7091"/>
    <w:rsid w:val="007E7EDF"/>
    <w:rsid w:val="007F08CF"/>
    <w:rsid w:val="007F0B8E"/>
    <w:rsid w:val="007F1D10"/>
    <w:rsid w:val="007F27E7"/>
    <w:rsid w:val="007F2C31"/>
    <w:rsid w:val="007F3D9C"/>
    <w:rsid w:val="007F40CA"/>
    <w:rsid w:val="007F4881"/>
    <w:rsid w:val="007F4A63"/>
    <w:rsid w:val="007F4B2D"/>
    <w:rsid w:val="007F4B9B"/>
    <w:rsid w:val="007F4D47"/>
    <w:rsid w:val="007F4DE4"/>
    <w:rsid w:val="007F4FA6"/>
    <w:rsid w:val="007F6300"/>
    <w:rsid w:val="007F63A1"/>
    <w:rsid w:val="007F654F"/>
    <w:rsid w:val="007F665B"/>
    <w:rsid w:val="007F6B7E"/>
    <w:rsid w:val="007F793A"/>
    <w:rsid w:val="007F7E75"/>
    <w:rsid w:val="00800464"/>
    <w:rsid w:val="0080060F"/>
    <w:rsid w:val="00800747"/>
    <w:rsid w:val="0080117F"/>
    <w:rsid w:val="00801A75"/>
    <w:rsid w:val="00801AA6"/>
    <w:rsid w:val="00801E74"/>
    <w:rsid w:val="00802014"/>
    <w:rsid w:val="008022F4"/>
    <w:rsid w:val="008027C6"/>
    <w:rsid w:val="0080287A"/>
    <w:rsid w:val="00802B53"/>
    <w:rsid w:val="00802DC4"/>
    <w:rsid w:val="008034C8"/>
    <w:rsid w:val="0080392C"/>
    <w:rsid w:val="00803C2C"/>
    <w:rsid w:val="00803FAE"/>
    <w:rsid w:val="0080551D"/>
    <w:rsid w:val="00805A16"/>
    <w:rsid w:val="00805A61"/>
    <w:rsid w:val="00805E6E"/>
    <w:rsid w:val="0080605F"/>
    <w:rsid w:val="00806C0F"/>
    <w:rsid w:val="00806CCD"/>
    <w:rsid w:val="008073F4"/>
    <w:rsid w:val="0080761E"/>
    <w:rsid w:val="00807786"/>
    <w:rsid w:val="0081050A"/>
    <w:rsid w:val="00810777"/>
    <w:rsid w:val="00810A0E"/>
    <w:rsid w:val="00810E71"/>
    <w:rsid w:val="008112D6"/>
    <w:rsid w:val="008113E8"/>
    <w:rsid w:val="00811657"/>
    <w:rsid w:val="00811809"/>
    <w:rsid w:val="00811BC9"/>
    <w:rsid w:val="00811CD7"/>
    <w:rsid w:val="00811DBA"/>
    <w:rsid w:val="00811FCB"/>
    <w:rsid w:val="008122B9"/>
    <w:rsid w:val="00812518"/>
    <w:rsid w:val="00812559"/>
    <w:rsid w:val="0081279C"/>
    <w:rsid w:val="008128BD"/>
    <w:rsid w:val="00812FEC"/>
    <w:rsid w:val="00813269"/>
    <w:rsid w:val="00814283"/>
    <w:rsid w:val="00814645"/>
    <w:rsid w:val="0081481C"/>
    <w:rsid w:val="00814DA2"/>
    <w:rsid w:val="0081527F"/>
    <w:rsid w:val="008158D6"/>
    <w:rsid w:val="00815B5D"/>
    <w:rsid w:val="00815CA7"/>
    <w:rsid w:val="00816657"/>
    <w:rsid w:val="00816B70"/>
    <w:rsid w:val="00817196"/>
    <w:rsid w:val="0081757A"/>
    <w:rsid w:val="008204A0"/>
    <w:rsid w:val="008204BC"/>
    <w:rsid w:val="008208E1"/>
    <w:rsid w:val="008212A7"/>
    <w:rsid w:val="0082174D"/>
    <w:rsid w:val="00821F6D"/>
    <w:rsid w:val="00822BA2"/>
    <w:rsid w:val="00822EC0"/>
    <w:rsid w:val="00823472"/>
    <w:rsid w:val="008235DB"/>
    <w:rsid w:val="0082360B"/>
    <w:rsid w:val="008237B0"/>
    <w:rsid w:val="00823876"/>
    <w:rsid w:val="00823897"/>
    <w:rsid w:val="008242B5"/>
    <w:rsid w:val="008247A1"/>
    <w:rsid w:val="00824AB4"/>
    <w:rsid w:val="00825C42"/>
    <w:rsid w:val="00825D25"/>
    <w:rsid w:val="00826356"/>
    <w:rsid w:val="008263A0"/>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508"/>
    <w:rsid w:val="0083155D"/>
    <w:rsid w:val="00831A98"/>
    <w:rsid w:val="00831DA2"/>
    <w:rsid w:val="00831E7D"/>
    <w:rsid w:val="00832129"/>
    <w:rsid w:val="00832148"/>
    <w:rsid w:val="00832653"/>
    <w:rsid w:val="0083311F"/>
    <w:rsid w:val="00833219"/>
    <w:rsid w:val="0083352E"/>
    <w:rsid w:val="008336E8"/>
    <w:rsid w:val="00833953"/>
    <w:rsid w:val="00833E2A"/>
    <w:rsid w:val="008341AC"/>
    <w:rsid w:val="008342A5"/>
    <w:rsid w:val="00835923"/>
    <w:rsid w:val="008359D5"/>
    <w:rsid w:val="00835F53"/>
    <w:rsid w:val="00836173"/>
    <w:rsid w:val="008366F2"/>
    <w:rsid w:val="00836BD8"/>
    <w:rsid w:val="008376AC"/>
    <w:rsid w:val="0083789F"/>
    <w:rsid w:val="008378D2"/>
    <w:rsid w:val="00837B89"/>
    <w:rsid w:val="00837CDB"/>
    <w:rsid w:val="00837CF4"/>
    <w:rsid w:val="008404FD"/>
    <w:rsid w:val="00840599"/>
    <w:rsid w:val="00840647"/>
    <w:rsid w:val="0084086C"/>
    <w:rsid w:val="00841093"/>
    <w:rsid w:val="00841541"/>
    <w:rsid w:val="008416A2"/>
    <w:rsid w:val="008421A8"/>
    <w:rsid w:val="00842BCA"/>
    <w:rsid w:val="00842FFC"/>
    <w:rsid w:val="00843099"/>
    <w:rsid w:val="008434E1"/>
    <w:rsid w:val="008444E8"/>
    <w:rsid w:val="00844521"/>
    <w:rsid w:val="00844D4B"/>
    <w:rsid w:val="00844E49"/>
    <w:rsid w:val="00844E80"/>
    <w:rsid w:val="0084526D"/>
    <w:rsid w:val="008453B3"/>
    <w:rsid w:val="0084621E"/>
    <w:rsid w:val="0084661D"/>
    <w:rsid w:val="0084699C"/>
    <w:rsid w:val="00846AFF"/>
    <w:rsid w:val="00846CDE"/>
    <w:rsid w:val="00846FE7"/>
    <w:rsid w:val="0084726E"/>
    <w:rsid w:val="00847745"/>
    <w:rsid w:val="00847EA2"/>
    <w:rsid w:val="008503F0"/>
    <w:rsid w:val="0085099B"/>
    <w:rsid w:val="00850CD3"/>
    <w:rsid w:val="00851DCF"/>
    <w:rsid w:val="00852862"/>
    <w:rsid w:val="0085384C"/>
    <w:rsid w:val="00853EA3"/>
    <w:rsid w:val="008540F7"/>
    <w:rsid w:val="0085519B"/>
    <w:rsid w:val="008554D4"/>
    <w:rsid w:val="00856877"/>
    <w:rsid w:val="00856911"/>
    <w:rsid w:val="008575BF"/>
    <w:rsid w:val="00857664"/>
    <w:rsid w:val="00860009"/>
    <w:rsid w:val="008601A1"/>
    <w:rsid w:val="00860B55"/>
    <w:rsid w:val="00861767"/>
    <w:rsid w:val="00861994"/>
    <w:rsid w:val="00861D3D"/>
    <w:rsid w:val="00861E50"/>
    <w:rsid w:val="008620BF"/>
    <w:rsid w:val="00862487"/>
    <w:rsid w:val="008624D6"/>
    <w:rsid w:val="008627B2"/>
    <w:rsid w:val="00862A34"/>
    <w:rsid w:val="00862B31"/>
    <w:rsid w:val="00863330"/>
    <w:rsid w:val="0086336C"/>
    <w:rsid w:val="0086404D"/>
    <w:rsid w:val="008641D8"/>
    <w:rsid w:val="00864523"/>
    <w:rsid w:val="0086470B"/>
    <w:rsid w:val="0086477F"/>
    <w:rsid w:val="00864D9C"/>
    <w:rsid w:val="008657B6"/>
    <w:rsid w:val="00865C51"/>
    <w:rsid w:val="00865F2A"/>
    <w:rsid w:val="00866186"/>
    <w:rsid w:val="00866FC8"/>
    <w:rsid w:val="008676FD"/>
    <w:rsid w:val="008677FD"/>
    <w:rsid w:val="0086790C"/>
    <w:rsid w:val="00867BDF"/>
    <w:rsid w:val="00870067"/>
    <w:rsid w:val="008701ED"/>
    <w:rsid w:val="00870564"/>
    <w:rsid w:val="008706D4"/>
    <w:rsid w:val="008709A9"/>
    <w:rsid w:val="00870B0E"/>
    <w:rsid w:val="00870F8A"/>
    <w:rsid w:val="0087104B"/>
    <w:rsid w:val="008719A0"/>
    <w:rsid w:val="008719A4"/>
    <w:rsid w:val="00871D23"/>
    <w:rsid w:val="00872B9B"/>
    <w:rsid w:val="00872CB2"/>
    <w:rsid w:val="00872DB2"/>
    <w:rsid w:val="00872FAA"/>
    <w:rsid w:val="0087310D"/>
    <w:rsid w:val="008731FE"/>
    <w:rsid w:val="00873EC4"/>
    <w:rsid w:val="00874312"/>
    <w:rsid w:val="0087437C"/>
    <w:rsid w:val="00874ACE"/>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2A2"/>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D0F"/>
    <w:rsid w:val="00886E55"/>
    <w:rsid w:val="00886EC2"/>
    <w:rsid w:val="0088725F"/>
    <w:rsid w:val="008878F4"/>
    <w:rsid w:val="00887BC2"/>
    <w:rsid w:val="00887D86"/>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970"/>
    <w:rsid w:val="008A0ED2"/>
    <w:rsid w:val="008A21FF"/>
    <w:rsid w:val="008A27A4"/>
    <w:rsid w:val="008A2CE2"/>
    <w:rsid w:val="008A2F2B"/>
    <w:rsid w:val="008A30AC"/>
    <w:rsid w:val="008A3F08"/>
    <w:rsid w:val="008A44B8"/>
    <w:rsid w:val="008A48F1"/>
    <w:rsid w:val="008A49A3"/>
    <w:rsid w:val="008A4CBD"/>
    <w:rsid w:val="008A51A8"/>
    <w:rsid w:val="008A51AD"/>
    <w:rsid w:val="008A54C7"/>
    <w:rsid w:val="008A550B"/>
    <w:rsid w:val="008A56F6"/>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D44"/>
    <w:rsid w:val="008B5E80"/>
    <w:rsid w:val="008B61FE"/>
    <w:rsid w:val="008B6487"/>
    <w:rsid w:val="008B6EED"/>
    <w:rsid w:val="008B74F0"/>
    <w:rsid w:val="008B76FA"/>
    <w:rsid w:val="008B789D"/>
    <w:rsid w:val="008B7B5C"/>
    <w:rsid w:val="008C046E"/>
    <w:rsid w:val="008C0C99"/>
    <w:rsid w:val="008C0EE4"/>
    <w:rsid w:val="008C13F5"/>
    <w:rsid w:val="008C1A45"/>
    <w:rsid w:val="008C1CD5"/>
    <w:rsid w:val="008C1D03"/>
    <w:rsid w:val="008C1E30"/>
    <w:rsid w:val="008C2017"/>
    <w:rsid w:val="008C218C"/>
    <w:rsid w:val="008C234A"/>
    <w:rsid w:val="008C2A19"/>
    <w:rsid w:val="008C2EBE"/>
    <w:rsid w:val="008C3B5E"/>
    <w:rsid w:val="008C46B5"/>
    <w:rsid w:val="008C4958"/>
    <w:rsid w:val="008C4BAA"/>
    <w:rsid w:val="008C50BB"/>
    <w:rsid w:val="008C5526"/>
    <w:rsid w:val="008C563D"/>
    <w:rsid w:val="008C6445"/>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9C7"/>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65E"/>
    <w:rsid w:val="008E0927"/>
    <w:rsid w:val="008E1909"/>
    <w:rsid w:val="008E1CED"/>
    <w:rsid w:val="008E1D1A"/>
    <w:rsid w:val="008E1E44"/>
    <w:rsid w:val="008E2370"/>
    <w:rsid w:val="008E2E1C"/>
    <w:rsid w:val="008E35A3"/>
    <w:rsid w:val="008E3F73"/>
    <w:rsid w:val="008E4B90"/>
    <w:rsid w:val="008E50E4"/>
    <w:rsid w:val="008E5D92"/>
    <w:rsid w:val="008E6BAA"/>
    <w:rsid w:val="008E6BB9"/>
    <w:rsid w:val="008E6CDB"/>
    <w:rsid w:val="008E6DF5"/>
    <w:rsid w:val="008E7001"/>
    <w:rsid w:val="008E7050"/>
    <w:rsid w:val="008E7A27"/>
    <w:rsid w:val="008E7EF9"/>
    <w:rsid w:val="008F01A6"/>
    <w:rsid w:val="008F0232"/>
    <w:rsid w:val="008F07E5"/>
    <w:rsid w:val="008F0C04"/>
    <w:rsid w:val="008F1C0C"/>
    <w:rsid w:val="008F1C4E"/>
    <w:rsid w:val="008F1CA6"/>
    <w:rsid w:val="008F1EAB"/>
    <w:rsid w:val="008F220A"/>
    <w:rsid w:val="008F223A"/>
    <w:rsid w:val="008F244C"/>
    <w:rsid w:val="008F2CAC"/>
    <w:rsid w:val="008F312C"/>
    <w:rsid w:val="008F33DC"/>
    <w:rsid w:val="008F3577"/>
    <w:rsid w:val="008F3ACD"/>
    <w:rsid w:val="008F40E2"/>
    <w:rsid w:val="008F4340"/>
    <w:rsid w:val="008F44BA"/>
    <w:rsid w:val="008F46AA"/>
    <w:rsid w:val="008F477F"/>
    <w:rsid w:val="008F4CF1"/>
    <w:rsid w:val="008F537A"/>
    <w:rsid w:val="008F5E3A"/>
    <w:rsid w:val="008F68A5"/>
    <w:rsid w:val="008F6F45"/>
    <w:rsid w:val="008F7013"/>
    <w:rsid w:val="008F7113"/>
    <w:rsid w:val="008F7B83"/>
    <w:rsid w:val="008F7CAD"/>
    <w:rsid w:val="0090011D"/>
    <w:rsid w:val="0090073D"/>
    <w:rsid w:val="0090133E"/>
    <w:rsid w:val="009015B0"/>
    <w:rsid w:val="0090192C"/>
    <w:rsid w:val="00901E6B"/>
    <w:rsid w:val="00902081"/>
    <w:rsid w:val="00902350"/>
    <w:rsid w:val="0090239D"/>
    <w:rsid w:val="009027A0"/>
    <w:rsid w:val="00902979"/>
    <w:rsid w:val="00902AA9"/>
    <w:rsid w:val="00902DD4"/>
    <w:rsid w:val="0090336B"/>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165E"/>
    <w:rsid w:val="00911DFB"/>
    <w:rsid w:val="009121E1"/>
    <w:rsid w:val="009126AF"/>
    <w:rsid w:val="00913114"/>
    <w:rsid w:val="009131C5"/>
    <w:rsid w:val="009131FF"/>
    <w:rsid w:val="00913638"/>
    <w:rsid w:val="009139D9"/>
    <w:rsid w:val="00913FC0"/>
    <w:rsid w:val="00914587"/>
    <w:rsid w:val="0091497A"/>
    <w:rsid w:val="00914AD8"/>
    <w:rsid w:val="00914EDC"/>
    <w:rsid w:val="00915410"/>
    <w:rsid w:val="00915512"/>
    <w:rsid w:val="0091555E"/>
    <w:rsid w:val="00915F0F"/>
    <w:rsid w:val="00916079"/>
    <w:rsid w:val="0091686D"/>
    <w:rsid w:val="009172CE"/>
    <w:rsid w:val="00917323"/>
    <w:rsid w:val="00917CE9"/>
    <w:rsid w:val="00917F23"/>
    <w:rsid w:val="00917FCF"/>
    <w:rsid w:val="00920041"/>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801"/>
    <w:rsid w:val="00925006"/>
    <w:rsid w:val="00925429"/>
    <w:rsid w:val="00925D3B"/>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A29"/>
    <w:rsid w:val="00933A57"/>
    <w:rsid w:val="00934334"/>
    <w:rsid w:val="00934365"/>
    <w:rsid w:val="00934839"/>
    <w:rsid w:val="0093502C"/>
    <w:rsid w:val="00935133"/>
    <w:rsid w:val="00935577"/>
    <w:rsid w:val="009355C2"/>
    <w:rsid w:val="00935AA7"/>
    <w:rsid w:val="00936759"/>
    <w:rsid w:val="009368F3"/>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568"/>
    <w:rsid w:val="00943742"/>
    <w:rsid w:val="0094398E"/>
    <w:rsid w:val="00944E13"/>
    <w:rsid w:val="00944F03"/>
    <w:rsid w:val="00945556"/>
    <w:rsid w:val="009456C6"/>
    <w:rsid w:val="00945AD6"/>
    <w:rsid w:val="00945C05"/>
    <w:rsid w:val="009463C4"/>
    <w:rsid w:val="009468FF"/>
    <w:rsid w:val="00946945"/>
    <w:rsid w:val="00946A6C"/>
    <w:rsid w:val="0094722D"/>
    <w:rsid w:val="0094740A"/>
    <w:rsid w:val="00947713"/>
    <w:rsid w:val="00947A26"/>
    <w:rsid w:val="00947F1E"/>
    <w:rsid w:val="0095012A"/>
    <w:rsid w:val="00950592"/>
    <w:rsid w:val="00950C5E"/>
    <w:rsid w:val="00950D12"/>
    <w:rsid w:val="00950DE7"/>
    <w:rsid w:val="00950E0F"/>
    <w:rsid w:val="00951B1F"/>
    <w:rsid w:val="0095271D"/>
    <w:rsid w:val="0095306B"/>
    <w:rsid w:val="00953462"/>
    <w:rsid w:val="00953523"/>
    <w:rsid w:val="009538F5"/>
    <w:rsid w:val="00953920"/>
    <w:rsid w:val="00953D47"/>
    <w:rsid w:val="00953ED3"/>
    <w:rsid w:val="0095463E"/>
    <w:rsid w:val="00954AB3"/>
    <w:rsid w:val="0095537C"/>
    <w:rsid w:val="00955D63"/>
    <w:rsid w:val="00955ED4"/>
    <w:rsid w:val="00956021"/>
    <w:rsid w:val="009562D2"/>
    <w:rsid w:val="009567B4"/>
    <w:rsid w:val="0095681E"/>
    <w:rsid w:val="009572D4"/>
    <w:rsid w:val="00957C4E"/>
    <w:rsid w:val="00957C99"/>
    <w:rsid w:val="00957CC0"/>
    <w:rsid w:val="00960A1F"/>
    <w:rsid w:val="00960C4D"/>
    <w:rsid w:val="0096138E"/>
    <w:rsid w:val="009614A0"/>
    <w:rsid w:val="00961921"/>
    <w:rsid w:val="00961EF9"/>
    <w:rsid w:val="0096201B"/>
    <w:rsid w:val="009620D3"/>
    <w:rsid w:val="00962905"/>
    <w:rsid w:val="00962BD7"/>
    <w:rsid w:val="009633B9"/>
    <w:rsid w:val="0096356B"/>
    <w:rsid w:val="009639B4"/>
    <w:rsid w:val="009640DA"/>
    <w:rsid w:val="0096430A"/>
    <w:rsid w:val="00964611"/>
    <w:rsid w:val="00965173"/>
    <w:rsid w:val="009651C1"/>
    <w:rsid w:val="0096554B"/>
    <w:rsid w:val="0096584A"/>
    <w:rsid w:val="009660F3"/>
    <w:rsid w:val="009664BF"/>
    <w:rsid w:val="0096652E"/>
    <w:rsid w:val="00966657"/>
    <w:rsid w:val="0096693C"/>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A14"/>
    <w:rsid w:val="00972CA5"/>
    <w:rsid w:val="00974BCC"/>
    <w:rsid w:val="00974D7E"/>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BC4"/>
    <w:rsid w:val="00982033"/>
    <w:rsid w:val="0098286C"/>
    <w:rsid w:val="00982A71"/>
    <w:rsid w:val="00982EA3"/>
    <w:rsid w:val="00982F06"/>
    <w:rsid w:val="00984216"/>
    <w:rsid w:val="0098433C"/>
    <w:rsid w:val="009844BF"/>
    <w:rsid w:val="00984529"/>
    <w:rsid w:val="00984A96"/>
    <w:rsid w:val="00984CB3"/>
    <w:rsid w:val="00985253"/>
    <w:rsid w:val="0098530B"/>
    <w:rsid w:val="009853B3"/>
    <w:rsid w:val="00985445"/>
    <w:rsid w:val="00985722"/>
    <w:rsid w:val="0098581F"/>
    <w:rsid w:val="00985A64"/>
    <w:rsid w:val="00985CB1"/>
    <w:rsid w:val="0098604F"/>
    <w:rsid w:val="00987053"/>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454B"/>
    <w:rsid w:val="00994DCA"/>
    <w:rsid w:val="00994FF3"/>
    <w:rsid w:val="00995089"/>
    <w:rsid w:val="0099547B"/>
    <w:rsid w:val="00995515"/>
    <w:rsid w:val="00995524"/>
    <w:rsid w:val="00995A7A"/>
    <w:rsid w:val="009960EC"/>
    <w:rsid w:val="0099688A"/>
    <w:rsid w:val="00996D68"/>
    <w:rsid w:val="009970DD"/>
    <w:rsid w:val="00997245"/>
    <w:rsid w:val="009A0141"/>
    <w:rsid w:val="009A0465"/>
    <w:rsid w:val="009A09BD"/>
    <w:rsid w:val="009A0B84"/>
    <w:rsid w:val="009A0FBA"/>
    <w:rsid w:val="009A1098"/>
    <w:rsid w:val="009A1601"/>
    <w:rsid w:val="009A197A"/>
    <w:rsid w:val="009A1B33"/>
    <w:rsid w:val="009A1CA4"/>
    <w:rsid w:val="009A1ED4"/>
    <w:rsid w:val="009A2C07"/>
    <w:rsid w:val="009A3016"/>
    <w:rsid w:val="009A3BB6"/>
    <w:rsid w:val="009A41B9"/>
    <w:rsid w:val="009A462D"/>
    <w:rsid w:val="009A4A6C"/>
    <w:rsid w:val="009A4F92"/>
    <w:rsid w:val="009A50FE"/>
    <w:rsid w:val="009A5A1C"/>
    <w:rsid w:val="009A5CBA"/>
    <w:rsid w:val="009A6282"/>
    <w:rsid w:val="009A6433"/>
    <w:rsid w:val="009A64A4"/>
    <w:rsid w:val="009A64D0"/>
    <w:rsid w:val="009A6F2F"/>
    <w:rsid w:val="009A6FE4"/>
    <w:rsid w:val="009A74A0"/>
    <w:rsid w:val="009A7640"/>
    <w:rsid w:val="009A77BB"/>
    <w:rsid w:val="009A7AD5"/>
    <w:rsid w:val="009A7AE7"/>
    <w:rsid w:val="009A7E6D"/>
    <w:rsid w:val="009B01D0"/>
    <w:rsid w:val="009B0297"/>
    <w:rsid w:val="009B0309"/>
    <w:rsid w:val="009B1D3F"/>
    <w:rsid w:val="009B1F30"/>
    <w:rsid w:val="009B2537"/>
    <w:rsid w:val="009B25F6"/>
    <w:rsid w:val="009B26CA"/>
    <w:rsid w:val="009B274A"/>
    <w:rsid w:val="009B365B"/>
    <w:rsid w:val="009B38F4"/>
    <w:rsid w:val="009B3AC2"/>
    <w:rsid w:val="009B406E"/>
    <w:rsid w:val="009B44AD"/>
    <w:rsid w:val="009B46D9"/>
    <w:rsid w:val="009B477D"/>
    <w:rsid w:val="009B480F"/>
    <w:rsid w:val="009B4A9A"/>
    <w:rsid w:val="009B4D3E"/>
    <w:rsid w:val="009B4DF4"/>
    <w:rsid w:val="009B53C4"/>
    <w:rsid w:val="009B5475"/>
    <w:rsid w:val="009B564E"/>
    <w:rsid w:val="009B5693"/>
    <w:rsid w:val="009B572D"/>
    <w:rsid w:val="009B5ECE"/>
    <w:rsid w:val="009B6365"/>
    <w:rsid w:val="009B684E"/>
    <w:rsid w:val="009B69D4"/>
    <w:rsid w:val="009B754C"/>
    <w:rsid w:val="009B774E"/>
    <w:rsid w:val="009B79C0"/>
    <w:rsid w:val="009B7E87"/>
    <w:rsid w:val="009C0169"/>
    <w:rsid w:val="009C0179"/>
    <w:rsid w:val="009C089C"/>
    <w:rsid w:val="009C107A"/>
    <w:rsid w:val="009C1679"/>
    <w:rsid w:val="009C2037"/>
    <w:rsid w:val="009C241D"/>
    <w:rsid w:val="009C251B"/>
    <w:rsid w:val="009C27DD"/>
    <w:rsid w:val="009C2C93"/>
    <w:rsid w:val="009C3BBB"/>
    <w:rsid w:val="009C403E"/>
    <w:rsid w:val="009C47AB"/>
    <w:rsid w:val="009C484E"/>
    <w:rsid w:val="009C521D"/>
    <w:rsid w:val="009C5E3B"/>
    <w:rsid w:val="009C5E79"/>
    <w:rsid w:val="009C605A"/>
    <w:rsid w:val="009C6D3C"/>
    <w:rsid w:val="009C6DEA"/>
    <w:rsid w:val="009C770F"/>
    <w:rsid w:val="009C781A"/>
    <w:rsid w:val="009D037C"/>
    <w:rsid w:val="009D03C8"/>
    <w:rsid w:val="009D05DA"/>
    <w:rsid w:val="009D0C46"/>
    <w:rsid w:val="009D0FEB"/>
    <w:rsid w:val="009D1513"/>
    <w:rsid w:val="009D1818"/>
    <w:rsid w:val="009D2A46"/>
    <w:rsid w:val="009D48F3"/>
    <w:rsid w:val="009D4919"/>
    <w:rsid w:val="009D4FF0"/>
    <w:rsid w:val="009D5FBA"/>
    <w:rsid w:val="009D6A63"/>
    <w:rsid w:val="009D703C"/>
    <w:rsid w:val="009D718F"/>
    <w:rsid w:val="009D7AB8"/>
    <w:rsid w:val="009D7ED4"/>
    <w:rsid w:val="009E0662"/>
    <w:rsid w:val="009E068F"/>
    <w:rsid w:val="009E0FE9"/>
    <w:rsid w:val="009E1261"/>
    <w:rsid w:val="009E14E0"/>
    <w:rsid w:val="009E1690"/>
    <w:rsid w:val="009E1734"/>
    <w:rsid w:val="009E1D55"/>
    <w:rsid w:val="009E1F43"/>
    <w:rsid w:val="009E2563"/>
    <w:rsid w:val="009E35DB"/>
    <w:rsid w:val="009E360E"/>
    <w:rsid w:val="009E3B46"/>
    <w:rsid w:val="009E40BC"/>
    <w:rsid w:val="009E43A2"/>
    <w:rsid w:val="009E47A3"/>
    <w:rsid w:val="009E489F"/>
    <w:rsid w:val="009E519C"/>
    <w:rsid w:val="009E5990"/>
    <w:rsid w:val="009E5ACA"/>
    <w:rsid w:val="009E66BC"/>
    <w:rsid w:val="009E6EE1"/>
    <w:rsid w:val="009E7094"/>
    <w:rsid w:val="009E7127"/>
    <w:rsid w:val="009E7626"/>
    <w:rsid w:val="009E778B"/>
    <w:rsid w:val="009E77B2"/>
    <w:rsid w:val="009E78FB"/>
    <w:rsid w:val="009E7A49"/>
    <w:rsid w:val="009E7AA9"/>
    <w:rsid w:val="009E7D3E"/>
    <w:rsid w:val="009F0300"/>
    <w:rsid w:val="009F07E0"/>
    <w:rsid w:val="009F08F3"/>
    <w:rsid w:val="009F0984"/>
    <w:rsid w:val="009F0EDC"/>
    <w:rsid w:val="009F10C5"/>
    <w:rsid w:val="009F1290"/>
    <w:rsid w:val="009F13B9"/>
    <w:rsid w:val="009F1654"/>
    <w:rsid w:val="009F179B"/>
    <w:rsid w:val="009F1C66"/>
    <w:rsid w:val="009F2C05"/>
    <w:rsid w:val="009F2D25"/>
    <w:rsid w:val="009F2EA0"/>
    <w:rsid w:val="009F344F"/>
    <w:rsid w:val="009F35F8"/>
    <w:rsid w:val="009F421E"/>
    <w:rsid w:val="009F4549"/>
    <w:rsid w:val="009F47B4"/>
    <w:rsid w:val="009F51E0"/>
    <w:rsid w:val="009F51E5"/>
    <w:rsid w:val="009F5871"/>
    <w:rsid w:val="009F5BE4"/>
    <w:rsid w:val="009F6679"/>
    <w:rsid w:val="009F6B3D"/>
    <w:rsid w:val="009F73C2"/>
    <w:rsid w:val="009F781B"/>
    <w:rsid w:val="009F7DE8"/>
    <w:rsid w:val="00A0002A"/>
    <w:rsid w:val="00A001CB"/>
    <w:rsid w:val="00A0029B"/>
    <w:rsid w:val="00A00456"/>
    <w:rsid w:val="00A00EC6"/>
    <w:rsid w:val="00A00F1A"/>
    <w:rsid w:val="00A014B0"/>
    <w:rsid w:val="00A01D9F"/>
    <w:rsid w:val="00A02199"/>
    <w:rsid w:val="00A02AA6"/>
    <w:rsid w:val="00A02EAF"/>
    <w:rsid w:val="00A031D8"/>
    <w:rsid w:val="00A03284"/>
    <w:rsid w:val="00A0375C"/>
    <w:rsid w:val="00A03C1B"/>
    <w:rsid w:val="00A041E4"/>
    <w:rsid w:val="00A04659"/>
    <w:rsid w:val="00A048A8"/>
    <w:rsid w:val="00A04AC4"/>
    <w:rsid w:val="00A04F49"/>
    <w:rsid w:val="00A05CEF"/>
    <w:rsid w:val="00A05F2D"/>
    <w:rsid w:val="00A0781B"/>
    <w:rsid w:val="00A0787B"/>
    <w:rsid w:val="00A07A43"/>
    <w:rsid w:val="00A105C1"/>
    <w:rsid w:val="00A1079D"/>
    <w:rsid w:val="00A1098C"/>
    <w:rsid w:val="00A10991"/>
    <w:rsid w:val="00A1158D"/>
    <w:rsid w:val="00A12390"/>
    <w:rsid w:val="00A12742"/>
    <w:rsid w:val="00A1352A"/>
    <w:rsid w:val="00A136D1"/>
    <w:rsid w:val="00A13A08"/>
    <w:rsid w:val="00A13E54"/>
    <w:rsid w:val="00A13F97"/>
    <w:rsid w:val="00A14031"/>
    <w:rsid w:val="00A141EA"/>
    <w:rsid w:val="00A14F07"/>
    <w:rsid w:val="00A16100"/>
    <w:rsid w:val="00A167D8"/>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351A"/>
    <w:rsid w:val="00A23695"/>
    <w:rsid w:val="00A23B6E"/>
    <w:rsid w:val="00A23CAB"/>
    <w:rsid w:val="00A23E4D"/>
    <w:rsid w:val="00A24B8B"/>
    <w:rsid w:val="00A24C32"/>
    <w:rsid w:val="00A24E0D"/>
    <w:rsid w:val="00A25138"/>
    <w:rsid w:val="00A2541C"/>
    <w:rsid w:val="00A2552E"/>
    <w:rsid w:val="00A264A9"/>
    <w:rsid w:val="00A264C1"/>
    <w:rsid w:val="00A269EC"/>
    <w:rsid w:val="00A26C82"/>
    <w:rsid w:val="00A26DCF"/>
    <w:rsid w:val="00A26E1D"/>
    <w:rsid w:val="00A26EDC"/>
    <w:rsid w:val="00A27275"/>
    <w:rsid w:val="00A27785"/>
    <w:rsid w:val="00A300DA"/>
    <w:rsid w:val="00A30187"/>
    <w:rsid w:val="00A30538"/>
    <w:rsid w:val="00A30A03"/>
    <w:rsid w:val="00A30AF2"/>
    <w:rsid w:val="00A31057"/>
    <w:rsid w:val="00A311C2"/>
    <w:rsid w:val="00A31BE7"/>
    <w:rsid w:val="00A31C6F"/>
    <w:rsid w:val="00A321E1"/>
    <w:rsid w:val="00A322B3"/>
    <w:rsid w:val="00A324CE"/>
    <w:rsid w:val="00A324F8"/>
    <w:rsid w:val="00A328B0"/>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9A"/>
    <w:rsid w:val="00A3756E"/>
    <w:rsid w:val="00A37E31"/>
    <w:rsid w:val="00A4054E"/>
    <w:rsid w:val="00A407D2"/>
    <w:rsid w:val="00A40824"/>
    <w:rsid w:val="00A419BD"/>
    <w:rsid w:val="00A41E2B"/>
    <w:rsid w:val="00A42066"/>
    <w:rsid w:val="00A42170"/>
    <w:rsid w:val="00A42A71"/>
    <w:rsid w:val="00A44E12"/>
    <w:rsid w:val="00A45075"/>
    <w:rsid w:val="00A45404"/>
    <w:rsid w:val="00A45B10"/>
    <w:rsid w:val="00A45B74"/>
    <w:rsid w:val="00A469C0"/>
    <w:rsid w:val="00A46A07"/>
    <w:rsid w:val="00A46B7B"/>
    <w:rsid w:val="00A470FC"/>
    <w:rsid w:val="00A4761F"/>
    <w:rsid w:val="00A47D50"/>
    <w:rsid w:val="00A501FC"/>
    <w:rsid w:val="00A50787"/>
    <w:rsid w:val="00A5083F"/>
    <w:rsid w:val="00A509FE"/>
    <w:rsid w:val="00A50EF6"/>
    <w:rsid w:val="00A51174"/>
    <w:rsid w:val="00A51324"/>
    <w:rsid w:val="00A51754"/>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873"/>
    <w:rsid w:val="00A55DBF"/>
    <w:rsid w:val="00A55F1A"/>
    <w:rsid w:val="00A5673D"/>
    <w:rsid w:val="00A579CE"/>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49A4"/>
    <w:rsid w:val="00A64B28"/>
    <w:rsid w:val="00A64D39"/>
    <w:rsid w:val="00A657D7"/>
    <w:rsid w:val="00A65865"/>
    <w:rsid w:val="00A65E4F"/>
    <w:rsid w:val="00A660AC"/>
    <w:rsid w:val="00A66174"/>
    <w:rsid w:val="00A663F0"/>
    <w:rsid w:val="00A66BCD"/>
    <w:rsid w:val="00A673D9"/>
    <w:rsid w:val="00A674C0"/>
    <w:rsid w:val="00A67AAA"/>
    <w:rsid w:val="00A67BDA"/>
    <w:rsid w:val="00A67E6C"/>
    <w:rsid w:val="00A706AD"/>
    <w:rsid w:val="00A708A2"/>
    <w:rsid w:val="00A711E9"/>
    <w:rsid w:val="00A71995"/>
    <w:rsid w:val="00A71B16"/>
    <w:rsid w:val="00A71B99"/>
    <w:rsid w:val="00A71EE5"/>
    <w:rsid w:val="00A71F43"/>
    <w:rsid w:val="00A721C7"/>
    <w:rsid w:val="00A723C1"/>
    <w:rsid w:val="00A731CB"/>
    <w:rsid w:val="00A73654"/>
    <w:rsid w:val="00A739D0"/>
    <w:rsid w:val="00A73D47"/>
    <w:rsid w:val="00A7419B"/>
    <w:rsid w:val="00A74359"/>
    <w:rsid w:val="00A74C38"/>
    <w:rsid w:val="00A74D4E"/>
    <w:rsid w:val="00A74FBE"/>
    <w:rsid w:val="00A75048"/>
    <w:rsid w:val="00A754C5"/>
    <w:rsid w:val="00A75B6E"/>
    <w:rsid w:val="00A76043"/>
    <w:rsid w:val="00A76159"/>
    <w:rsid w:val="00A761D4"/>
    <w:rsid w:val="00A76457"/>
    <w:rsid w:val="00A76B59"/>
    <w:rsid w:val="00A7713D"/>
    <w:rsid w:val="00A77B08"/>
    <w:rsid w:val="00A77EC4"/>
    <w:rsid w:val="00A800B8"/>
    <w:rsid w:val="00A807B7"/>
    <w:rsid w:val="00A8085B"/>
    <w:rsid w:val="00A80C04"/>
    <w:rsid w:val="00A80DBC"/>
    <w:rsid w:val="00A819FF"/>
    <w:rsid w:val="00A81ADB"/>
    <w:rsid w:val="00A81FDC"/>
    <w:rsid w:val="00A82394"/>
    <w:rsid w:val="00A824AA"/>
    <w:rsid w:val="00A82726"/>
    <w:rsid w:val="00A845EE"/>
    <w:rsid w:val="00A84630"/>
    <w:rsid w:val="00A84E0A"/>
    <w:rsid w:val="00A8556B"/>
    <w:rsid w:val="00A85E0B"/>
    <w:rsid w:val="00A8608F"/>
    <w:rsid w:val="00A86138"/>
    <w:rsid w:val="00A8628C"/>
    <w:rsid w:val="00A8637A"/>
    <w:rsid w:val="00A863C5"/>
    <w:rsid w:val="00A86AD6"/>
    <w:rsid w:val="00A86CED"/>
    <w:rsid w:val="00A8755C"/>
    <w:rsid w:val="00A8772F"/>
    <w:rsid w:val="00A8795E"/>
    <w:rsid w:val="00A87D48"/>
    <w:rsid w:val="00A90255"/>
    <w:rsid w:val="00A90290"/>
    <w:rsid w:val="00A91486"/>
    <w:rsid w:val="00A9195E"/>
    <w:rsid w:val="00A91A00"/>
    <w:rsid w:val="00A91B2B"/>
    <w:rsid w:val="00A91C79"/>
    <w:rsid w:val="00A92383"/>
    <w:rsid w:val="00A923E8"/>
    <w:rsid w:val="00A9244F"/>
    <w:rsid w:val="00A92879"/>
    <w:rsid w:val="00A92994"/>
    <w:rsid w:val="00A92A24"/>
    <w:rsid w:val="00A92ACE"/>
    <w:rsid w:val="00A92F45"/>
    <w:rsid w:val="00A92F9D"/>
    <w:rsid w:val="00A93077"/>
    <w:rsid w:val="00A93FDB"/>
    <w:rsid w:val="00A9442A"/>
    <w:rsid w:val="00A95411"/>
    <w:rsid w:val="00A96354"/>
    <w:rsid w:val="00A96F07"/>
    <w:rsid w:val="00A9718A"/>
    <w:rsid w:val="00A973C6"/>
    <w:rsid w:val="00A975F1"/>
    <w:rsid w:val="00A9766B"/>
    <w:rsid w:val="00A977C2"/>
    <w:rsid w:val="00A978C2"/>
    <w:rsid w:val="00AA016F"/>
    <w:rsid w:val="00AA05A4"/>
    <w:rsid w:val="00AA155B"/>
    <w:rsid w:val="00AA1B3E"/>
    <w:rsid w:val="00AA1ED6"/>
    <w:rsid w:val="00AA1EDF"/>
    <w:rsid w:val="00AA2195"/>
    <w:rsid w:val="00AA2345"/>
    <w:rsid w:val="00AA251E"/>
    <w:rsid w:val="00AA2638"/>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D9"/>
    <w:rsid w:val="00AB14FB"/>
    <w:rsid w:val="00AB17E3"/>
    <w:rsid w:val="00AB1A8A"/>
    <w:rsid w:val="00AB1CE1"/>
    <w:rsid w:val="00AB1DA6"/>
    <w:rsid w:val="00AB20A7"/>
    <w:rsid w:val="00AB3264"/>
    <w:rsid w:val="00AB332A"/>
    <w:rsid w:val="00AB40A4"/>
    <w:rsid w:val="00AB4679"/>
    <w:rsid w:val="00AB4749"/>
    <w:rsid w:val="00AB4AB8"/>
    <w:rsid w:val="00AB5608"/>
    <w:rsid w:val="00AB655E"/>
    <w:rsid w:val="00AB660A"/>
    <w:rsid w:val="00AB69CB"/>
    <w:rsid w:val="00AB6C8B"/>
    <w:rsid w:val="00AB7997"/>
    <w:rsid w:val="00AC007F"/>
    <w:rsid w:val="00AC0277"/>
    <w:rsid w:val="00AC06F2"/>
    <w:rsid w:val="00AC0BD9"/>
    <w:rsid w:val="00AC126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4FEE"/>
    <w:rsid w:val="00AD5848"/>
    <w:rsid w:val="00AD5ADF"/>
    <w:rsid w:val="00AD5BC6"/>
    <w:rsid w:val="00AD6050"/>
    <w:rsid w:val="00AD660D"/>
    <w:rsid w:val="00AD684A"/>
    <w:rsid w:val="00AD782E"/>
    <w:rsid w:val="00AD7834"/>
    <w:rsid w:val="00AD7888"/>
    <w:rsid w:val="00AE07D4"/>
    <w:rsid w:val="00AE07F4"/>
    <w:rsid w:val="00AE09EB"/>
    <w:rsid w:val="00AE1053"/>
    <w:rsid w:val="00AE1260"/>
    <w:rsid w:val="00AE17B1"/>
    <w:rsid w:val="00AE18A4"/>
    <w:rsid w:val="00AE1C68"/>
    <w:rsid w:val="00AE1C77"/>
    <w:rsid w:val="00AE27AC"/>
    <w:rsid w:val="00AE29DE"/>
    <w:rsid w:val="00AE2BE5"/>
    <w:rsid w:val="00AE2C1C"/>
    <w:rsid w:val="00AE2DFE"/>
    <w:rsid w:val="00AE32C4"/>
    <w:rsid w:val="00AE3CFC"/>
    <w:rsid w:val="00AE3D0A"/>
    <w:rsid w:val="00AE3E8C"/>
    <w:rsid w:val="00AE3F19"/>
    <w:rsid w:val="00AE40E0"/>
    <w:rsid w:val="00AE41D4"/>
    <w:rsid w:val="00AE444E"/>
    <w:rsid w:val="00AE4B10"/>
    <w:rsid w:val="00AE4DBA"/>
    <w:rsid w:val="00AE4F07"/>
    <w:rsid w:val="00AE4F5C"/>
    <w:rsid w:val="00AE54F6"/>
    <w:rsid w:val="00AE554B"/>
    <w:rsid w:val="00AE5725"/>
    <w:rsid w:val="00AE5753"/>
    <w:rsid w:val="00AE5B0F"/>
    <w:rsid w:val="00AE5C58"/>
    <w:rsid w:val="00AE662F"/>
    <w:rsid w:val="00AE6CE8"/>
    <w:rsid w:val="00AE7027"/>
    <w:rsid w:val="00AE7A6E"/>
    <w:rsid w:val="00AE7FBF"/>
    <w:rsid w:val="00AF0390"/>
    <w:rsid w:val="00AF0FFF"/>
    <w:rsid w:val="00AF1C5D"/>
    <w:rsid w:val="00AF2815"/>
    <w:rsid w:val="00AF2FAC"/>
    <w:rsid w:val="00AF31AF"/>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2670"/>
    <w:rsid w:val="00B02AA9"/>
    <w:rsid w:val="00B02FA3"/>
    <w:rsid w:val="00B03093"/>
    <w:rsid w:val="00B03229"/>
    <w:rsid w:val="00B0348E"/>
    <w:rsid w:val="00B037D1"/>
    <w:rsid w:val="00B03C21"/>
    <w:rsid w:val="00B04158"/>
    <w:rsid w:val="00B04A86"/>
    <w:rsid w:val="00B04EBA"/>
    <w:rsid w:val="00B05010"/>
    <w:rsid w:val="00B05084"/>
    <w:rsid w:val="00B05892"/>
    <w:rsid w:val="00B05B62"/>
    <w:rsid w:val="00B05CE6"/>
    <w:rsid w:val="00B05F7B"/>
    <w:rsid w:val="00B06BB8"/>
    <w:rsid w:val="00B06DC5"/>
    <w:rsid w:val="00B06FE5"/>
    <w:rsid w:val="00B07499"/>
    <w:rsid w:val="00B077B8"/>
    <w:rsid w:val="00B10644"/>
    <w:rsid w:val="00B11396"/>
    <w:rsid w:val="00B113B3"/>
    <w:rsid w:val="00B120F5"/>
    <w:rsid w:val="00B12766"/>
    <w:rsid w:val="00B12B14"/>
    <w:rsid w:val="00B133A3"/>
    <w:rsid w:val="00B133CC"/>
    <w:rsid w:val="00B13514"/>
    <w:rsid w:val="00B13798"/>
    <w:rsid w:val="00B13C5C"/>
    <w:rsid w:val="00B13C9A"/>
    <w:rsid w:val="00B1423E"/>
    <w:rsid w:val="00B14470"/>
    <w:rsid w:val="00B14925"/>
    <w:rsid w:val="00B14F5D"/>
    <w:rsid w:val="00B15150"/>
    <w:rsid w:val="00B1532E"/>
    <w:rsid w:val="00B153D6"/>
    <w:rsid w:val="00B157F9"/>
    <w:rsid w:val="00B16354"/>
    <w:rsid w:val="00B167C6"/>
    <w:rsid w:val="00B16EF6"/>
    <w:rsid w:val="00B17809"/>
    <w:rsid w:val="00B17CCC"/>
    <w:rsid w:val="00B17D6C"/>
    <w:rsid w:val="00B20155"/>
    <w:rsid w:val="00B20256"/>
    <w:rsid w:val="00B20D09"/>
    <w:rsid w:val="00B20F24"/>
    <w:rsid w:val="00B21260"/>
    <w:rsid w:val="00B213B9"/>
    <w:rsid w:val="00B21451"/>
    <w:rsid w:val="00B2194E"/>
    <w:rsid w:val="00B227EF"/>
    <w:rsid w:val="00B228DB"/>
    <w:rsid w:val="00B22B8C"/>
    <w:rsid w:val="00B22E65"/>
    <w:rsid w:val="00B2322B"/>
    <w:rsid w:val="00B235BD"/>
    <w:rsid w:val="00B23667"/>
    <w:rsid w:val="00B23C65"/>
    <w:rsid w:val="00B24399"/>
    <w:rsid w:val="00B24CB7"/>
    <w:rsid w:val="00B25C9D"/>
    <w:rsid w:val="00B25CD4"/>
    <w:rsid w:val="00B25F0A"/>
    <w:rsid w:val="00B2629E"/>
    <w:rsid w:val="00B26927"/>
    <w:rsid w:val="00B26B0F"/>
    <w:rsid w:val="00B2763F"/>
    <w:rsid w:val="00B2778B"/>
    <w:rsid w:val="00B27AAC"/>
    <w:rsid w:val="00B27B9B"/>
    <w:rsid w:val="00B27DA7"/>
    <w:rsid w:val="00B300F7"/>
    <w:rsid w:val="00B30929"/>
    <w:rsid w:val="00B30B4A"/>
    <w:rsid w:val="00B30CA5"/>
    <w:rsid w:val="00B30D0E"/>
    <w:rsid w:val="00B316A7"/>
    <w:rsid w:val="00B31C3E"/>
    <w:rsid w:val="00B31F91"/>
    <w:rsid w:val="00B31FC1"/>
    <w:rsid w:val="00B3291E"/>
    <w:rsid w:val="00B32B2B"/>
    <w:rsid w:val="00B32EE3"/>
    <w:rsid w:val="00B33128"/>
    <w:rsid w:val="00B3359E"/>
    <w:rsid w:val="00B33749"/>
    <w:rsid w:val="00B3384A"/>
    <w:rsid w:val="00B343A1"/>
    <w:rsid w:val="00B34B3B"/>
    <w:rsid w:val="00B34D12"/>
    <w:rsid w:val="00B34D94"/>
    <w:rsid w:val="00B34E7C"/>
    <w:rsid w:val="00B34FD2"/>
    <w:rsid w:val="00B350DD"/>
    <w:rsid w:val="00B354CC"/>
    <w:rsid w:val="00B35A71"/>
    <w:rsid w:val="00B35C44"/>
    <w:rsid w:val="00B36220"/>
    <w:rsid w:val="00B3673B"/>
    <w:rsid w:val="00B3696D"/>
    <w:rsid w:val="00B36A69"/>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DAE"/>
    <w:rsid w:val="00B411C8"/>
    <w:rsid w:val="00B41845"/>
    <w:rsid w:val="00B41888"/>
    <w:rsid w:val="00B41949"/>
    <w:rsid w:val="00B41CD7"/>
    <w:rsid w:val="00B423F0"/>
    <w:rsid w:val="00B431EC"/>
    <w:rsid w:val="00B43468"/>
    <w:rsid w:val="00B43671"/>
    <w:rsid w:val="00B44834"/>
    <w:rsid w:val="00B44DED"/>
    <w:rsid w:val="00B45050"/>
    <w:rsid w:val="00B4520D"/>
    <w:rsid w:val="00B455E8"/>
    <w:rsid w:val="00B45793"/>
    <w:rsid w:val="00B4586E"/>
    <w:rsid w:val="00B45A52"/>
    <w:rsid w:val="00B45C17"/>
    <w:rsid w:val="00B46175"/>
    <w:rsid w:val="00B46C9B"/>
    <w:rsid w:val="00B46D5E"/>
    <w:rsid w:val="00B46F09"/>
    <w:rsid w:val="00B47BE8"/>
    <w:rsid w:val="00B5171D"/>
    <w:rsid w:val="00B519E3"/>
    <w:rsid w:val="00B5244B"/>
    <w:rsid w:val="00B527D5"/>
    <w:rsid w:val="00B53085"/>
    <w:rsid w:val="00B53363"/>
    <w:rsid w:val="00B53930"/>
    <w:rsid w:val="00B53A62"/>
    <w:rsid w:val="00B53B3B"/>
    <w:rsid w:val="00B548B7"/>
    <w:rsid w:val="00B549F5"/>
    <w:rsid w:val="00B549FD"/>
    <w:rsid w:val="00B54A00"/>
    <w:rsid w:val="00B54C50"/>
    <w:rsid w:val="00B55186"/>
    <w:rsid w:val="00B553EF"/>
    <w:rsid w:val="00B55DD5"/>
    <w:rsid w:val="00B55FC9"/>
    <w:rsid w:val="00B568FD"/>
    <w:rsid w:val="00B56AC2"/>
    <w:rsid w:val="00B56E23"/>
    <w:rsid w:val="00B573BE"/>
    <w:rsid w:val="00B57A70"/>
    <w:rsid w:val="00B60226"/>
    <w:rsid w:val="00B60297"/>
    <w:rsid w:val="00B603C0"/>
    <w:rsid w:val="00B605CF"/>
    <w:rsid w:val="00B6073A"/>
    <w:rsid w:val="00B607CD"/>
    <w:rsid w:val="00B609B2"/>
    <w:rsid w:val="00B60E34"/>
    <w:rsid w:val="00B62448"/>
    <w:rsid w:val="00B62875"/>
    <w:rsid w:val="00B62F73"/>
    <w:rsid w:val="00B6385F"/>
    <w:rsid w:val="00B640C4"/>
    <w:rsid w:val="00B64AC0"/>
    <w:rsid w:val="00B6599F"/>
    <w:rsid w:val="00B65FEB"/>
    <w:rsid w:val="00B6602F"/>
    <w:rsid w:val="00B664C7"/>
    <w:rsid w:val="00B666EA"/>
    <w:rsid w:val="00B66799"/>
    <w:rsid w:val="00B7060C"/>
    <w:rsid w:val="00B70669"/>
    <w:rsid w:val="00B7079B"/>
    <w:rsid w:val="00B7080E"/>
    <w:rsid w:val="00B70D53"/>
    <w:rsid w:val="00B72B31"/>
    <w:rsid w:val="00B72C97"/>
    <w:rsid w:val="00B73085"/>
    <w:rsid w:val="00B739F6"/>
    <w:rsid w:val="00B73D69"/>
    <w:rsid w:val="00B74275"/>
    <w:rsid w:val="00B743F3"/>
    <w:rsid w:val="00B74523"/>
    <w:rsid w:val="00B747E4"/>
    <w:rsid w:val="00B748E7"/>
    <w:rsid w:val="00B74A08"/>
    <w:rsid w:val="00B74B45"/>
    <w:rsid w:val="00B74DA6"/>
    <w:rsid w:val="00B756C7"/>
    <w:rsid w:val="00B75A02"/>
    <w:rsid w:val="00B75BB0"/>
    <w:rsid w:val="00B768FC"/>
    <w:rsid w:val="00B76937"/>
    <w:rsid w:val="00B77C10"/>
    <w:rsid w:val="00B77FCF"/>
    <w:rsid w:val="00B80398"/>
    <w:rsid w:val="00B80A6F"/>
    <w:rsid w:val="00B8163D"/>
    <w:rsid w:val="00B81A32"/>
    <w:rsid w:val="00B81A6C"/>
    <w:rsid w:val="00B81EC0"/>
    <w:rsid w:val="00B81FF4"/>
    <w:rsid w:val="00B82665"/>
    <w:rsid w:val="00B8266A"/>
    <w:rsid w:val="00B827F4"/>
    <w:rsid w:val="00B82CED"/>
    <w:rsid w:val="00B8357A"/>
    <w:rsid w:val="00B836DD"/>
    <w:rsid w:val="00B8392B"/>
    <w:rsid w:val="00B83EFD"/>
    <w:rsid w:val="00B84195"/>
    <w:rsid w:val="00B8458E"/>
    <w:rsid w:val="00B8475C"/>
    <w:rsid w:val="00B849D8"/>
    <w:rsid w:val="00B84A12"/>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EDB"/>
    <w:rsid w:val="00B9287B"/>
    <w:rsid w:val="00B92892"/>
    <w:rsid w:val="00B92D99"/>
    <w:rsid w:val="00B93AED"/>
    <w:rsid w:val="00B93B59"/>
    <w:rsid w:val="00B9406A"/>
    <w:rsid w:val="00B9408D"/>
    <w:rsid w:val="00B94216"/>
    <w:rsid w:val="00B942C4"/>
    <w:rsid w:val="00B9499D"/>
    <w:rsid w:val="00B94A35"/>
    <w:rsid w:val="00B94BB8"/>
    <w:rsid w:val="00B95145"/>
    <w:rsid w:val="00B9527D"/>
    <w:rsid w:val="00B956C8"/>
    <w:rsid w:val="00B9599E"/>
    <w:rsid w:val="00B96723"/>
    <w:rsid w:val="00B9696B"/>
    <w:rsid w:val="00B97484"/>
    <w:rsid w:val="00B979BA"/>
    <w:rsid w:val="00B97D8F"/>
    <w:rsid w:val="00BA076A"/>
    <w:rsid w:val="00BA0D06"/>
    <w:rsid w:val="00BA120D"/>
    <w:rsid w:val="00BA2280"/>
    <w:rsid w:val="00BA2323"/>
    <w:rsid w:val="00BA2A08"/>
    <w:rsid w:val="00BA2A31"/>
    <w:rsid w:val="00BA2D58"/>
    <w:rsid w:val="00BA41E5"/>
    <w:rsid w:val="00BA43C4"/>
    <w:rsid w:val="00BA4DFD"/>
    <w:rsid w:val="00BA55EC"/>
    <w:rsid w:val="00BA56D2"/>
    <w:rsid w:val="00BA5F4F"/>
    <w:rsid w:val="00BA66CE"/>
    <w:rsid w:val="00BA6CF2"/>
    <w:rsid w:val="00BA6E8B"/>
    <w:rsid w:val="00BA7248"/>
    <w:rsid w:val="00BA76E0"/>
    <w:rsid w:val="00BB0320"/>
    <w:rsid w:val="00BB0625"/>
    <w:rsid w:val="00BB0D48"/>
    <w:rsid w:val="00BB100E"/>
    <w:rsid w:val="00BB16F0"/>
    <w:rsid w:val="00BB216D"/>
    <w:rsid w:val="00BB24A6"/>
    <w:rsid w:val="00BB2A25"/>
    <w:rsid w:val="00BB2B20"/>
    <w:rsid w:val="00BB2C75"/>
    <w:rsid w:val="00BB2CFD"/>
    <w:rsid w:val="00BB2DEE"/>
    <w:rsid w:val="00BB32EC"/>
    <w:rsid w:val="00BB3BF1"/>
    <w:rsid w:val="00BB3D0D"/>
    <w:rsid w:val="00BB3D94"/>
    <w:rsid w:val="00BB42D8"/>
    <w:rsid w:val="00BB4CEF"/>
    <w:rsid w:val="00BB5192"/>
    <w:rsid w:val="00BB51E9"/>
    <w:rsid w:val="00BB5989"/>
    <w:rsid w:val="00BB60EE"/>
    <w:rsid w:val="00BB6153"/>
    <w:rsid w:val="00BB66F1"/>
    <w:rsid w:val="00BB676F"/>
    <w:rsid w:val="00BB7128"/>
    <w:rsid w:val="00BB722B"/>
    <w:rsid w:val="00BB7649"/>
    <w:rsid w:val="00BB7C16"/>
    <w:rsid w:val="00BC0035"/>
    <w:rsid w:val="00BC00CA"/>
    <w:rsid w:val="00BC0FDC"/>
    <w:rsid w:val="00BC1AC2"/>
    <w:rsid w:val="00BC1AF2"/>
    <w:rsid w:val="00BC231F"/>
    <w:rsid w:val="00BC251D"/>
    <w:rsid w:val="00BC29EB"/>
    <w:rsid w:val="00BC2AF5"/>
    <w:rsid w:val="00BC2C99"/>
    <w:rsid w:val="00BC3053"/>
    <w:rsid w:val="00BC37AB"/>
    <w:rsid w:val="00BC389E"/>
    <w:rsid w:val="00BC3E87"/>
    <w:rsid w:val="00BC3F78"/>
    <w:rsid w:val="00BC4230"/>
    <w:rsid w:val="00BC45C2"/>
    <w:rsid w:val="00BC4A2A"/>
    <w:rsid w:val="00BC4B40"/>
    <w:rsid w:val="00BC4D2E"/>
    <w:rsid w:val="00BC4E25"/>
    <w:rsid w:val="00BC5DEC"/>
    <w:rsid w:val="00BC6302"/>
    <w:rsid w:val="00BC64DD"/>
    <w:rsid w:val="00BC66F1"/>
    <w:rsid w:val="00BC6C63"/>
    <w:rsid w:val="00BC6E64"/>
    <w:rsid w:val="00BC6EA9"/>
    <w:rsid w:val="00BC7703"/>
    <w:rsid w:val="00BC7AF3"/>
    <w:rsid w:val="00BD028D"/>
    <w:rsid w:val="00BD0629"/>
    <w:rsid w:val="00BD12EF"/>
    <w:rsid w:val="00BD287B"/>
    <w:rsid w:val="00BD2F8B"/>
    <w:rsid w:val="00BD32DE"/>
    <w:rsid w:val="00BD3507"/>
    <w:rsid w:val="00BD3851"/>
    <w:rsid w:val="00BD3C06"/>
    <w:rsid w:val="00BD4127"/>
    <w:rsid w:val="00BD48AC"/>
    <w:rsid w:val="00BD4D19"/>
    <w:rsid w:val="00BD5B3D"/>
    <w:rsid w:val="00BD5D20"/>
    <w:rsid w:val="00BD5F1A"/>
    <w:rsid w:val="00BD62FD"/>
    <w:rsid w:val="00BD79F6"/>
    <w:rsid w:val="00BE004B"/>
    <w:rsid w:val="00BE0346"/>
    <w:rsid w:val="00BE1085"/>
    <w:rsid w:val="00BE10E6"/>
    <w:rsid w:val="00BE11E8"/>
    <w:rsid w:val="00BE1234"/>
    <w:rsid w:val="00BE147D"/>
    <w:rsid w:val="00BE1BBD"/>
    <w:rsid w:val="00BE216A"/>
    <w:rsid w:val="00BE262F"/>
    <w:rsid w:val="00BE2663"/>
    <w:rsid w:val="00BE268B"/>
    <w:rsid w:val="00BE2722"/>
    <w:rsid w:val="00BE27F5"/>
    <w:rsid w:val="00BE2FA6"/>
    <w:rsid w:val="00BE32D5"/>
    <w:rsid w:val="00BE333F"/>
    <w:rsid w:val="00BE3924"/>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693"/>
    <w:rsid w:val="00BF0CD6"/>
    <w:rsid w:val="00BF1155"/>
    <w:rsid w:val="00BF164E"/>
    <w:rsid w:val="00BF1B94"/>
    <w:rsid w:val="00BF24DC"/>
    <w:rsid w:val="00BF29A0"/>
    <w:rsid w:val="00BF2F8E"/>
    <w:rsid w:val="00BF3208"/>
    <w:rsid w:val="00BF3279"/>
    <w:rsid w:val="00BF33D6"/>
    <w:rsid w:val="00BF3555"/>
    <w:rsid w:val="00BF3CB1"/>
    <w:rsid w:val="00BF4616"/>
    <w:rsid w:val="00BF4A22"/>
    <w:rsid w:val="00BF4C3F"/>
    <w:rsid w:val="00BF4C93"/>
    <w:rsid w:val="00BF5038"/>
    <w:rsid w:val="00BF7006"/>
    <w:rsid w:val="00BF74C7"/>
    <w:rsid w:val="00BF752B"/>
    <w:rsid w:val="00BF787D"/>
    <w:rsid w:val="00BF7E9D"/>
    <w:rsid w:val="00C00135"/>
    <w:rsid w:val="00C00188"/>
    <w:rsid w:val="00C005E4"/>
    <w:rsid w:val="00C00AEA"/>
    <w:rsid w:val="00C00BE4"/>
    <w:rsid w:val="00C010ED"/>
    <w:rsid w:val="00C013C1"/>
    <w:rsid w:val="00C015F1"/>
    <w:rsid w:val="00C0172A"/>
    <w:rsid w:val="00C01AF6"/>
    <w:rsid w:val="00C01BD2"/>
    <w:rsid w:val="00C01F33"/>
    <w:rsid w:val="00C02C0C"/>
    <w:rsid w:val="00C02C6E"/>
    <w:rsid w:val="00C02CC6"/>
    <w:rsid w:val="00C03308"/>
    <w:rsid w:val="00C0331B"/>
    <w:rsid w:val="00C0337B"/>
    <w:rsid w:val="00C03963"/>
    <w:rsid w:val="00C039FC"/>
    <w:rsid w:val="00C03A1A"/>
    <w:rsid w:val="00C03C53"/>
    <w:rsid w:val="00C03D14"/>
    <w:rsid w:val="00C0403E"/>
    <w:rsid w:val="00C040F7"/>
    <w:rsid w:val="00C043D2"/>
    <w:rsid w:val="00C044AB"/>
    <w:rsid w:val="00C04530"/>
    <w:rsid w:val="00C0532F"/>
    <w:rsid w:val="00C05706"/>
    <w:rsid w:val="00C061B7"/>
    <w:rsid w:val="00C06B87"/>
    <w:rsid w:val="00C07377"/>
    <w:rsid w:val="00C0787C"/>
    <w:rsid w:val="00C078B0"/>
    <w:rsid w:val="00C07C82"/>
    <w:rsid w:val="00C100DA"/>
    <w:rsid w:val="00C103D9"/>
    <w:rsid w:val="00C1040E"/>
    <w:rsid w:val="00C1041E"/>
    <w:rsid w:val="00C10478"/>
    <w:rsid w:val="00C10584"/>
    <w:rsid w:val="00C106E5"/>
    <w:rsid w:val="00C1090C"/>
    <w:rsid w:val="00C112F0"/>
    <w:rsid w:val="00C112FA"/>
    <w:rsid w:val="00C11DED"/>
    <w:rsid w:val="00C11E11"/>
    <w:rsid w:val="00C11E4F"/>
    <w:rsid w:val="00C1204D"/>
    <w:rsid w:val="00C12107"/>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20486"/>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4398"/>
    <w:rsid w:val="00C24654"/>
    <w:rsid w:val="00C247F0"/>
    <w:rsid w:val="00C25389"/>
    <w:rsid w:val="00C25D41"/>
    <w:rsid w:val="00C25D52"/>
    <w:rsid w:val="00C26240"/>
    <w:rsid w:val="00C270CF"/>
    <w:rsid w:val="00C27407"/>
    <w:rsid w:val="00C277C8"/>
    <w:rsid w:val="00C279B5"/>
    <w:rsid w:val="00C27B65"/>
    <w:rsid w:val="00C27C45"/>
    <w:rsid w:val="00C31D88"/>
    <w:rsid w:val="00C31DAF"/>
    <w:rsid w:val="00C31F4E"/>
    <w:rsid w:val="00C320BC"/>
    <w:rsid w:val="00C32368"/>
    <w:rsid w:val="00C324B1"/>
    <w:rsid w:val="00C33514"/>
    <w:rsid w:val="00C34189"/>
    <w:rsid w:val="00C342E2"/>
    <w:rsid w:val="00C347DD"/>
    <w:rsid w:val="00C358E5"/>
    <w:rsid w:val="00C35BCE"/>
    <w:rsid w:val="00C35F64"/>
    <w:rsid w:val="00C3656A"/>
    <w:rsid w:val="00C369BE"/>
    <w:rsid w:val="00C36BB9"/>
    <w:rsid w:val="00C3719D"/>
    <w:rsid w:val="00C37A36"/>
    <w:rsid w:val="00C37A69"/>
    <w:rsid w:val="00C37CB2"/>
    <w:rsid w:val="00C40FE4"/>
    <w:rsid w:val="00C412B4"/>
    <w:rsid w:val="00C4172C"/>
    <w:rsid w:val="00C41741"/>
    <w:rsid w:val="00C42189"/>
    <w:rsid w:val="00C42665"/>
    <w:rsid w:val="00C42695"/>
    <w:rsid w:val="00C42862"/>
    <w:rsid w:val="00C4351B"/>
    <w:rsid w:val="00C4389B"/>
    <w:rsid w:val="00C43B5D"/>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B58"/>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30B"/>
    <w:rsid w:val="00C5638D"/>
    <w:rsid w:val="00C56767"/>
    <w:rsid w:val="00C57326"/>
    <w:rsid w:val="00C60721"/>
    <w:rsid w:val="00C60783"/>
    <w:rsid w:val="00C60B7D"/>
    <w:rsid w:val="00C60C03"/>
    <w:rsid w:val="00C612F2"/>
    <w:rsid w:val="00C61C10"/>
    <w:rsid w:val="00C61E0B"/>
    <w:rsid w:val="00C620F6"/>
    <w:rsid w:val="00C6236D"/>
    <w:rsid w:val="00C624ED"/>
    <w:rsid w:val="00C629A4"/>
    <w:rsid w:val="00C62EDD"/>
    <w:rsid w:val="00C639A3"/>
    <w:rsid w:val="00C641A3"/>
    <w:rsid w:val="00C641CA"/>
    <w:rsid w:val="00C644BE"/>
    <w:rsid w:val="00C64672"/>
    <w:rsid w:val="00C64889"/>
    <w:rsid w:val="00C64E21"/>
    <w:rsid w:val="00C65383"/>
    <w:rsid w:val="00C6641A"/>
    <w:rsid w:val="00C66C0A"/>
    <w:rsid w:val="00C671C4"/>
    <w:rsid w:val="00C67D20"/>
    <w:rsid w:val="00C67E54"/>
    <w:rsid w:val="00C700CB"/>
    <w:rsid w:val="00C70455"/>
    <w:rsid w:val="00C70697"/>
    <w:rsid w:val="00C7095F"/>
    <w:rsid w:val="00C71FC1"/>
    <w:rsid w:val="00C72093"/>
    <w:rsid w:val="00C723E3"/>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7BE"/>
    <w:rsid w:val="00C76E18"/>
    <w:rsid w:val="00C76E3C"/>
    <w:rsid w:val="00C77E81"/>
    <w:rsid w:val="00C77F90"/>
    <w:rsid w:val="00C8045A"/>
    <w:rsid w:val="00C807B8"/>
    <w:rsid w:val="00C8086B"/>
    <w:rsid w:val="00C808E9"/>
    <w:rsid w:val="00C80A0C"/>
    <w:rsid w:val="00C81176"/>
    <w:rsid w:val="00C81293"/>
    <w:rsid w:val="00C81568"/>
    <w:rsid w:val="00C81850"/>
    <w:rsid w:val="00C820BB"/>
    <w:rsid w:val="00C82153"/>
    <w:rsid w:val="00C82628"/>
    <w:rsid w:val="00C833F2"/>
    <w:rsid w:val="00C8357E"/>
    <w:rsid w:val="00C837CF"/>
    <w:rsid w:val="00C840A3"/>
    <w:rsid w:val="00C840BD"/>
    <w:rsid w:val="00C8431E"/>
    <w:rsid w:val="00C8482C"/>
    <w:rsid w:val="00C84882"/>
    <w:rsid w:val="00C8505E"/>
    <w:rsid w:val="00C85610"/>
    <w:rsid w:val="00C857E4"/>
    <w:rsid w:val="00C85C4A"/>
    <w:rsid w:val="00C87093"/>
    <w:rsid w:val="00C872CF"/>
    <w:rsid w:val="00C878E4"/>
    <w:rsid w:val="00C9027A"/>
    <w:rsid w:val="00C9068E"/>
    <w:rsid w:val="00C9100A"/>
    <w:rsid w:val="00C91101"/>
    <w:rsid w:val="00C91F3A"/>
    <w:rsid w:val="00C92473"/>
    <w:rsid w:val="00C92E53"/>
    <w:rsid w:val="00C92F32"/>
    <w:rsid w:val="00C934C2"/>
    <w:rsid w:val="00C93713"/>
    <w:rsid w:val="00C93814"/>
    <w:rsid w:val="00C9390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B71"/>
    <w:rsid w:val="00C9731C"/>
    <w:rsid w:val="00C979E4"/>
    <w:rsid w:val="00C97B7D"/>
    <w:rsid w:val="00C97D41"/>
    <w:rsid w:val="00C97D90"/>
    <w:rsid w:val="00CA0080"/>
    <w:rsid w:val="00CA0ADE"/>
    <w:rsid w:val="00CA158A"/>
    <w:rsid w:val="00CA1883"/>
    <w:rsid w:val="00CA1ED8"/>
    <w:rsid w:val="00CA3221"/>
    <w:rsid w:val="00CA3390"/>
    <w:rsid w:val="00CA375E"/>
    <w:rsid w:val="00CA442D"/>
    <w:rsid w:val="00CA44C8"/>
    <w:rsid w:val="00CA49C7"/>
    <w:rsid w:val="00CA4D16"/>
    <w:rsid w:val="00CA500D"/>
    <w:rsid w:val="00CA5167"/>
    <w:rsid w:val="00CA53B2"/>
    <w:rsid w:val="00CA5E29"/>
    <w:rsid w:val="00CA5E74"/>
    <w:rsid w:val="00CA5F59"/>
    <w:rsid w:val="00CA620D"/>
    <w:rsid w:val="00CA623D"/>
    <w:rsid w:val="00CA6CAA"/>
    <w:rsid w:val="00CA7045"/>
    <w:rsid w:val="00CA7D0A"/>
    <w:rsid w:val="00CA7D6D"/>
    <w:rsid w:val="00CA7DEB"/>
    <w:rsid w:val="00CB1556"/>
    <w:rsid w:val="00CB1593"/>
    <w:rsid w:val="00CB17C5"/>
    <w:rsid w:val="00CB1F63"/>
    <w:rsid w:val="00CB2206"/>
    <w:rsid w:val="00CB2804"/>
    <w:rsid w:val="00CB2C83"/>
    <w:rsid w:val="00CB30E5"/>
    <w:rsid w:val="00CB3486"/>
    <w:rsid w:val="00CB3583"/>
    <w:rsid w:val="00CB423C"/>
    <w:rsid w:val="00CB4547"/>
    <w:rsid w:val="00CB4960"/>
    <w:rsid w:val="00CB4ED7"/>
    <w:rsid w:val="00CB536A"/>
    <w:rsid w:val="00CB5968"/>
    <w:rsid w:val="00CB5CA6"/>
    <w:rsid w:val="00CB5CC2"/>
    <w:rsid w:val="00CB6045"/>
    <w:rsid w:val="00CB6714"/>
    <w:rsid w:val="00CB6B3C"/>
    <w:rsid w:val="00CB6B53"/>
    <w:rsid w:val="00CB7170"/>
    <w:rsid w:val="00CB7B1F"/>
    <w:rsid w:val="00CC040E"/>
    <w:rsid w:val="00CC0489"/>
    <w:rsid w:val="00CC111F"/>
    <w:rsid w:val="00CC181A"/>
    <w:rsid w:val="00CC1A00"/>
    <w:rsid w:val="00CC1A2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A0"/>
    <w:rsid w:val="00CC3F2B"/>
    <w:rsid w:val="00CC3FEB"/>
    <w:rsid w:val="00CC4034"/>
    <w:rsid w:val="00CC412A"/>
    <w:rsid w:val="00CC46CE"/>
    <w:rsid w:val="00CC4B54"/>
    <w:rsid w:val="00CC51EE"/>
    <w:rsid w:val="00CC7057"/>
    <w:rsid w:val="00CC7311"/>
    <w:rsid w:val="00CC7400"/>
    <w:rsid w:val="00CC7ADA"/>
    <w:rsid w:val="00CC7B45"/>
    <w:rsid w:val="00CD024A"/>
    <w:rsid w:val="00CD0865"/>
    <w:rsid w:val="00CD08A4"/>
    <w:rsid w:val="00CD0C3F"/>
    <w:rsid w:val="00CD0CA9"/>
    <w:rsid w:val="00CD1188"/>
    <w:rsid w:val="00CD11EE"/>
    <w:rsid w:val="00CD1EE4"/>
    <w:rsid w:val="00CD2659"/>
    <w:rsid w:val="00CD2A3C"/>
    <w:rsid w:val="00CD2EC6"/>
    <w:rsid w:val="00CD2ED1"/>
    <w:rsid w:val="00CD2F5A"/>
    <w:rsid w:val="00CD337B"/>
    <w:rsid w:val="00CD38C5"/>
    <w:rsid w:val="00CD3967"/>
    <w:rsid w:val="00CD3A48"/>
    <w:rsid w:val="00CD447B"/>
    <w:rsid w:val="00CD466E"/>
    <w:rsid w:val="00CD59B0"/>
    <w:rsid w:val="00CD5CB4"/>
    <w:rsid w:val="00CD7887"/>
    <w:rsid w:val="00CE0424"/>
    <w:rsid w:val="00CE097A"/>
    <w:rsid w:val="00CE0BF7"/>
    <w:rsid w:val="00CE0C12"/>
    <w:rsid w:val="00CE0E3C"/>
    <w:rsid w:val="00CE0E5B"/>
    <w:rsid w:val="00CE129C"/>
    <w:rsid w:val="00CE1466"/>
    <w:rsid w:val="00CE15A4"/>
    <w:rsid w:val="00CE1D87"/>
    <w:rsid w:val="00CE1F75"/>
    <w:rsid w:val="00CE2531"/>
    <w:rsid w:val="00CE2FC9"/>
    <w:rsid w:val="00CE316A"/>
    <w:rsid w:val="00CE365C"/>
    <w:rsid w:val="00CE45D2"/>
    <w:rsid w:val="00CE484B"/>
    <w:rsid w:val="00CE4BE3"/>
    <w:rsid w:val="00CE502A"/>
    <w:rsid w:val="00CE5431"/>
    <w:rsid w:val="00CE595F"/>
    <w:rsid w:val="00CE646E"/>
    <w:rsid w:val="00CE6497"/>
    <w:rsid w:val="00CE715D"/>
    <w:rsid w:val="00CE7561"/>
    <w:rsid w:val="00CE7D67"/>
    <w:rsid w:val="00CE7E31"/>
    <w:rsid w:val="00CE7EB0"/>
    <w:rsid w:val="00CE7FCE"/>
    <w:rsid w:val="00CF007F"/>
    <w:rsid w:val="00CF05D4"/>
    <w:rsid w:val="00CF07CC"/>
    <w:rsid w:val="00CF0865"/>
    <w:rsid w:val="00CF0933"/>
    <w:rsid w:val="00CF0EA5"/>
    <w:rsid w:val="00CF1354"/>
    <w:rsid w:val="00CF1698"/>
    <w:rsid w:val="00CF1C48"/>
    <w:rsid w:val="00CF20C9"/>
    <w:rsid w:val="00CF24EE"/>
    <w:rsid w:val="00CF2710"/>
    <w:rsid w:val="00CF2885"/>
    <w:rsid w:val="00CF3B1F"/>
    <w:rsid w:val="00CF3BF6"/>
    <w:rsid w:val="00CF43A1"/>
    <w:rsid w:val="00CF47EF"/>
    <w:rsid w:val="00CF4829"/>
    <w:rsid w:val="00CF4F41"/>
    <w:rsid w:val="00CF5260"/>
    <w:rsid w:val="00CF531A"/>
    <w:rsid w:val="00CF5DCD"/>
    <w:rsid w:val="00CF6150"/>
    <w:rsid w:val="00CF625B"/>
    <w:rsid w:val="00CF63DC"/>
    <w:rsid w:val="00CF6651"/>
    <w:rsid w:val="00CF687E"/>
    <w:rsid w:val="00CF6BBF"/>
    <w:rsid w:val="00CF6FDA"/>
    <w:rsid w:val="00CF70F8"/>
    <w:rsid w:val="00D004EF"/>
    <w:rsid w:val="00D00F9E"/>
    <w:rsid w:val="00D014E9"/>
    <w:rsid w:val="00D0244E"/>
    <w:rsid w:val="00D02775"/>
    <w:rsid w:val="00D02DAD"/>
    <w:rsid w:val="00D02F7D"/>
    <w:rsid w:val="00D030F7"/>
    <w:rsid w:val="00D0349B"/>
    <w:rsid w:val="00D03E26"/>
    <w:rsid w:val="00D03FAB"/>
    <w:rsid w:val="00D044EB"/>
    <w:rsid w:val="00D0467F"/>
    <w:rsid w:val="00D048B5"/>
    <w:rsid w:val="00D0517B"/>
    <w:rsid w:val="00D0596C"/>
    <w:rsid w:val="00D05973"/>
    <w:rsid w:val="00D0634C"/>
    <w:rsid w:val="00D068B5"/>
    <w:rsid w:val="00D06E5F"/>
    <w:rsid w:val="00D0713C"/>
    <w:rsid w:val="00D0771B"/>
    <w:rsid w:val="00D0789D"/>
    <w:rsid w:val="00D07DFC"/>
    <w:rsid w:val="00D10249"/>
    <w:rsid w:val="00D108C0"/>
    <w:rsid w:val="00D10953"/>
    <w:rsid w:val="00D10CA0"/>
    <w:rsid w:val="00D10D6C"/>
    <w:rsid w:val="00D10DEC"/>
    <w:rsid w:val="00D113DD"/>
    <w:rsid w:val="00D115C3"/>
    <w:rsid w:val="00D11897"/>
    <w:rsid w:val="00D11B6C"/>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F7F"/>
    <w:rsid w:val="00D15FBC"/>
    <w:rsid w:val="00D161B5"/>
    <w:rsid w:val="00D168F7"/>
    <w:rsid w:val="00D1750E"/>
    <w:rsid w:val="00D20128"/>
    <w:rsid w:val="00D208EA"/>
    <w:rsid w:val="00D20CD3"/>
    <w:rsid w:val="00D21306"/>
    <w:rsid w:val="00D2143B"/>
    <w:rsid w:val="00D215B2"/>
    <w:rsid w:val="00D2195D"/>
    <w:rsid w:val="00D21FED"/>
    <w:rsid w:val="00D22263"/>
    <w:rsid w:val="00D22485"/>
    <w:rsid w:val="00D227E3"/>
    <w:rsid w:val="00D239A7"/>
    <w:rsid w:val="00D23F47"/>
    <w:rsid w:val="00D23FF6"/>
    <w:rsid w:val="00D250B8"/>
    <w:rsid w:val="00D254DD"/>
    <w:rsid w:val="00D256D4"/>
    <w:rsid w:val="00D25B5D"/>
    <w:rsid w:val="00D25F52"/>
    <w:rsid w:val="00D26144"/>
    <w:rsid w:val="00D261BD"/>
    <w:rsid w:val="00D262D1"/>
    <w:rsid w:val="00D26D45"/>
    <w:rsid w:val="00D276A4"/>
    <w:rsid w:val="00D277F8"/>
    <w:rsid w:val="00D30335"/>
    <w:rsid w:val="00D30F76"/>
    <w:rsid w:val="00D3105A"/>
    <w:rsid w:val="00D3106B"/>
    <w:rsid w:val="00D3112A"/>
    <w:rsid w:val="00D3128B"/>
    <w:rsid w:val="00D31363"/>
    <w:rsid w:val="00D31A95"/>
    <w:rsid w:val="00D32D64"/>
    <w:rsid w:val="00D3314F"/>
    <w:rsid w:val="00D33296"/>
    <w:rsid w:val="00D33434"/>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B12"/>
    <w:rsid w:val="00D4243E"/>
    <w:rsid w:val="00D426F0"/>
    <w:rsid w:val="00D4318F"/>
    <w:rsid w:val="00D432A1"/>
    <w:rsid w:val="00D432B5"/>
    <w:rsid w:val="00D434A3"/>
    <w:rsid w:val="00D434FF"/>
    <w:rsid w:val="00D438BF"/>
    <w:rsid w:val="00D43D1A"/>
    <w:rsid w:val="00D440F8"/>
    <w:rsid w:val="00D44223"/>
    <w:rsid w:val="00D4479D"/>
    <w:rsid w:val="00D44A01"/>
    <w:rsid w:val="00D4548A"/>
    <w:rsid w:val="00D45A6B"/>
    <w:rsid w:val="00D45BB6"/>
    <w:rsid w:val="00D45D51"/>
    <w:rsid w:val="00D46380"/>
    <w:rsid w:val="00D46B56"/>
    <w:rsid w:val="00D504EF"/>
    <w:rsid w:val="00D50829"/>
    <w:rsid w:val="00D52362"/>
    <w:rsid w:val="00D52885"/>
    <w:rsid w:val="00D528A1"/>
    <w:rsid w:val="00D5314E"/>
    <w:rsid w:val="00D5346B"/>
    <w:rsid w:val="00D538B1"/>
    <w:rsid w:val="00D53AC8"/>
    <w:rsid w:val="00D53DAA"/>
    <w:rsid w:val="00D53EB1"/>
    <w:rsid w:val="00D546FF"/>
    <w:rsid w:val="00D5529E"/>
    <w:rsid w:val="00D552A6"/>
    <w:rsid w:val="00D555BF"/>
    <w:rsid w:val="00D55AD5"/>
    <w:rsid w:val="00D57156"/>
    <w:rsid w:val="00D571A6"/>
    <w:rsid w:val="00D57213"/>
    <w:rsid w:val="00D576CA"/>
    <w:rsid w:val="00D57A46"/>
    <w:rsid w:val="00D57AFE"/>
    <w:rsid w:val="00D57E0F"/>
    <w:rsid w:val="00D60563"/>
    <w:rsid w:val="00D6085B"/>
    <w:rsid w:val="00D608FC"/>
    <w:rsid w:val="00D60ABF"/>
    <w:rsid w:val="00D60B3A"/>
    <w:rsid w:val="00D619EE"/>
    <w:rsid w:val="00D61ABE"/>
    <w:rsid w:val="00D61AF5"/>
    <w:rsid w:val="00D61F71"/>
    <w:rsid w:val="00D6210F"/>
    <w:rsid w:val="00D6249E"/>
    <w:rsid w:val="00D624D3"/>
    <w:rsid w:val="00D62A97"/>
    <w:rsid w:val="00D63399"/>
    <w:rsid w:val="00D6390E"/>
    <w:rsid w:val="00D63927"/>
    <w:rsid w:val="00D63A7F"/>
    <w:rsid w:val="00D64B38"/>
    <w:rsid w:val="00D65183"/>
    <w:rsid w:val="00D652B5"/>
    <w:rsid w:val="00D6547D"/>
    <w:rsid w:val="00D656D3"/>
    <w:rsid w:val="00D65D86"/>
    <w:rsid w:val="00D66155"/>
    <w:rsid w:val="00D669A3"/>
    <w:rsid w:val="00D670A2"/>
    <w:rsid w:val="00D67801"/>
    <w:rsid w:val="00D678B4"/>
    <w:rsid w:val="00D67969"/>
    <w:rsid w:val="00D67ED2"/>
    <w:rsid w:val="00D70375"/>
    <w:rsid w:val="00D708B0"/>
    <w:rsid w:val="00D70947"/>
    <w:rsid w:val="00D70B77"/>
    <w:rsid w:val="00D70B7C"/>
    <w:rsid w:val="00D70D93"/>
    <w:rsid w:val="00D714DC"/>
    <w:rsid w:val="00D7179A"/>
    <w:rsid w:val="00D71F0D"/>
    <w:rsid w:val="00D730B8"/>
    <w:rsid w:val="00D7359F"/>
    <w:rsid w:val="00D73A08"/>
    <w:rsid w:val="00D73E92"/>
    <w:rsid w:val="00D73F2B"/>
    <w:rsid w:val="00D7409C"/>
    <w:rsid w:val="00D74369"/>
    <w:rsid w:val="00D749D9"/>
    <w:rsid w:val="00D74A61"/>
    <w:rsid w:val="00D74A6B"/>
    <w:rsid w:val="00D74FCE"/>
    <w:rsid w:val="00D75068"/>
    <w:rsid w:val="00D75594"/>
    <w:rsid w:val="00D756DF"/>
    <w:rsid w:val="00D75B3D"/>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EEB"/>
    <w:rsid w:val="00D823C6"/>
    <w:rsid w:val="00D82476"/>
    <w:rsid w:val="00D82617"/>
    <w:rsid w:val="00D829DC"/>
    <w:rsid w:val="00D82F12"/>
    <w:rsid w:val="00D82F15"/>
    <w:rsid w:val="00D8327F"/>
    <w:rsid w:val="00D83E61"/>
    <w:rsid w:val="00D84250"/>
    <w:rsid w:val="00D84B09"/>
    <w:rsid w:val="00D85AA5"/>
    <w:rsid w:val="00D86075"/>
    <w:rsid w:val="00D86CA3"/>
    <w:rsid w:val="00D87074"/>
    <w:rsid w:val="00D871CE"/>
    <w:rsid w:val="00D871F5"/>
    <w:rsid w:val="00D873D0"/>
    <w:rsid w:val="00D878FE"/>
    <w:rsid w:val="00D87AEF"/>
    <w:rsid w:val="00D87C49"/>
    <w:rsid w:val="00D87C8B"/>
    <w:rsid w:val="00D87FE3"/>
    <w:rsid w:val="00D87FF3"/>
    <w:rsid w:val="00D900A7"/>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D7B"/>
    <w:rsid w:val="00D95133"/>
    <w:rsid w:val="00D95182"/>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374"/>
    <w:rsid w:val="00DA0C20"/>
    <w:rsid w:val="00DA0F44"/>
    <w:rsid w:val="00DA14A4"/>
    <w:rsid w:val="00DA175E"/>
    <w:rsid w:val="00DA24B2"/>
    <w:rsid w:val="00DA2755"/>
    <w:rsid w:val="00DA2FCB"/>
    <w:rsid w:val="00DA305E"/>
    <w:rsid w:val="00DA30A6"/>
    <w:rsid w:val="00DA327C"/>
    <w:rsid w:val="00DA3A13"/>
    <w:rsid w:val="00DA3AFB"/>
    <w:rsid w:val="00DA3E58"/>
    <w:rsid w:val="00DA3F87"/>
    <w:rsid w:val="00DA3F96"/>
    <w:rsid w:val="00DA4837"/>
    <w:rsid w:val="00DA49A2"/>
    <w:rsid w:val="00DA4AA9"/>
    <w:rsid w:val="00DA5417"/>
    <w:rsid w:val="00DA55F5"/>
    <w:rsid w:val="00DA56E8"/>
    <w:rsid w:val="00DA5711"/>
    <w:rsid w:val="00DA59D8"/>
    <w:rsid w:val="00DA5EA7"/>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4B0A"/>
    <w:rsid w:val="00DB4F0A"/>
    <w:rsid w:val="00DB560A"/>
    <w:rsid w:val="00DB57F9"/>
    <w:rsid w:val="00DB5CEF"/>
    <w:rsid w:val="00DB5E33"/>
    <w:rsid w:val="00DB5E54"/>
    <w:rsid w:val="00DB6144"/>
    <w:rsid w:val="00DB66C5"/>
    <w:rsid w:val="00DB6ADC"/>
    <w:rsid w:val="00DB741C"/>
    <w:rsid w:val="00DB75D9"/>
    <w:rsid w:val="00DB7F0A"/>
    <w:rsid w:val="00DC0408"/>
    <w:rsid w:val="00DC11DA"/>
    <w:rsid w:val="00DC141A"/>
    <w:rsid w:val="00DC18D1"/>
    <w:rsid w:val="00DC19AA"/>
    <w:rsid w:val="00DC1F58"/>
    <w:rsid w:val="00DC2785"/>
    <w:rsid w:val="00DC2907"/>
    <w:rsid w:val="00DC2D36"/>
    <w:rsid w:val="00DC349B"/>
    <w:rsid w:val="00DC35DC"/>
    <w:rsid w:val="00DC37E8"/>
    <w:rsid w:val="00DC38DC"/>
    <w:rsid w:val="00DC499F"/>
    <w:rsid w:val="00DC4E04"/>
    <w:rsid w:val="00DC5299"/>
    <w:rsid w:val="00DC53EF"/>
    <w:rsid w:val="00DC55D1"/>
    <w:rsid w:val="00DC5FCB"/>
    <w:rsid w:val="00DC657E"/>
    <w:rsid w:val="00DC6599"/>
    <w:rsid w:val="00DC65F7"/>
    <w:rsid w:val="00DC6A43"/>
    <w:rsid w:val="00DC6D45"/>
    <w:rsid w:val="00DC6F42"/>
    <w:rsid w:val="00DC7003"/>
    <w:rsid w:val="00DC7247"/>
    <w:rsid w:val="00DC7B6A"/>
    <w:rsid w:val="00DC7C4B"/>
    <w:rsid w:val="00DC7D12"/>
    <w:rsid w:val="00DC7DC3"/>
    <w:rsid w:val="00DD0268"/>
    <w:rsid w:val="00DD0429"/>
    <w:rsid w:val="00DD046A"/>
    <w:rsid w:val="00DD0562"/>
    <w:rsid w:val="00DD0AE2"/>
    <w:rsid w:val="00DD11BB"/>
    <w:rsid w:val="00DD1749"/>
    <w:rsid w:val="00DD208A"/>
    <w:rsid w:val="00DD2C53"/>
    <w:rsid w:val="00DD36DB"/>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F8B"/>
    <w:rsid w:val="00DE1369"/>
    <w:rsid w:val="00DE13A9"/>
    <w:rsid w:val="00DE1CC7"/>
    <w:rsid w:val="00DE24E6"/>
    <w:rsid w:val="00DE2848"/>
    <w:rsid w:val="00DE2CF3"/>
    <w:rsid w:val="00DE34C4"/>
    <w:rsid w:val="00DE3649"/>
    <w:rsid w:val="00DE3FB7"/>
    <w:rsid w:val="00DE4A50"/>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5E0"/>
    <w:rsid w:val="00DF207F"/>
    <w:rsid w:val="00DF2211"/>
    <w:rsid w:val="00DF25E8"/>
    <w:rsid w:val="00DF323C"/>
    <w:rsid w:val="00DF3761"/>
    <w:rsid w:val="00DF37A0"/>
    <w:rsid w:val="00DF3E92"/>
    <w:rsid w:val="00DF40A4"/>
    <w:rsid w:val="00DF4E01"/>
    <w:rsid w:val="00DF5085"/>
    <w:rsid w:val="00DF5B3C"/>
    <w:rsid w:val="00DF5C95"/>
    <w:rsid w:val="00DF5DE2"/>
    <w:rsid w:val="00DF635B"/>
    <w:rsid w:val="00DF648F"/>
    <w:rsid w:val="00DF6D47"/>
    <w:rsid w:val="00DF7380"/>
    <w:rsid w:val="00DF74BE"/>
    <w:rsid w:val="00E00A71"/>
    <w:rsid w:val="00E00D01"/>
    <w:rsid w:val="00E00ED5"/>
    <w:rsid w:val="00E012EF"/>
    <w:rsid w:val="00E0166E"/>
    <w:rsid w:val="00E0196B"/>
    <w:rsid w:val="00E0196E"/>
    <w:rsid w:val="00E01C9A"/>
    <w:rsid w:val="00E0236B"/>
    <w:rsid w:val="00E0251B"/>
    <w:rsid w:val="00E02E71"/>
    <w:rsid w:val="00E032EC"/>
    <w:rsid w:val="00E0377A"/>
    <w:rsid w:val="00E03813"/>
    <w:rsid w:val="00E039D2"/>
    <w:rsid w:val="00E04F6C"/>
    <w:rsid w:val="00E052D6"/>
    <w:rsid w:val="00E05886"/>
    <w:rsid w:val="00E058A0"/>
    <w:rsid w:val="00E05C63"/>
    <w:rsid w:val="00E05C75"/>
    <w:rsid w:val="00E05CD2"/>
    <w:rsid w:val="00E061F8"/>
    <w:rsid w:val="00E062B9"/>
    <w:rsid w:val="00E0677A"/>
    <w:rsid w:val="00E06E16"/>
    <w:rsid w:val="00E101D2"/>
    <w:rsid w:val="00E10341"/>
    <w:rsid w:val="00E110E7"/>
    <w:rsid w:val="00E11228"/>
    <w:rsid w:val="00E11B20"/>
    <w:rsid w:val="00E12127"/>
    <w:rsid w:val="00E12327"/>
    <w:rsid w:val="00E125E0"/>
    <w:rsid w:val="00E12842"/>
    <w:rsid w:val="00E12875"/>
    <w:rsid w:val="00E14BFF"/>
    <w:rsid w:val="00E15AAD"/>
    <w:rsid w:val="00E16570"/>
    <w:rsid w:val="00E16845"/>
    <w:rsid w:val="00E1691A"/>
    <w:rsid w:val="00E17367"/>
    <w:rsid w:val="00E17DD8"/>
    <w:rsid w:val="00E17FA2"/>
    <w:rsid w:val="00E2090F"/>
    <w:rsid w:val="00E20DB4"/>
    <w:rsid w:val="00E21099"/>
    <w:rsid w:val="00E217BF"/>
    <w:rsid w:val="00E21837"/>
    <w:rsid w:val="00E21AC7"/>
    <w:rsid w:val="00E22169"/>
    <w:rsid w:val="00E22330"/>
    <w:rsid w:val="00E226D9"/>
    <w:rsid w:val="00E22EDA"/>
    <w:rsid w:val="00E22F50"/>
    <w:rsid w:val="00E22F8A"/>
    <w:rsid w:val="00E241EE"/>
    <w:rsid w:val="00E244A1"/>
    <w:rsid w:val="00E245EE"/>
    <w:rsid w:val="00E247E9"/>
    <w:rsid w:val="00E25CCF"/>
    <w:rsid w:val="00E26167"/>
    <w:rsid w:val="00E262F2"/>
    <w:rsid w:val="00E26943"/>
    <w:rsid w:val="00E26B7F"/>
    <w:rsid w:val="00E26CB7"/>
    <w:rsid w:val="00E27154"/>
    <w:rsid w:val="00E272D4"/>
    <w:rsid w:val="00E3032B"/>
    <w:rsid w:val="00E305B0"/>
    <w:rsid w:val="00E30B5A"/>
    <w:rsid w:val="00E30E5F"/>
    <w:rsid w:val="00E30F36"/>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C24"/>
    <w:rsid w:val="00E35EB7"/>
    <w:rsid w:val="00E36C2C"/>
    <w:rsid w:val="00E36EF9"/>
    <w:rsid w:val="00E3723A"/>
    <w:rsid w:val="00E374D4"/>
    <w:rsid w:val="00E37860"/>
    <w:rsid w:val="00E379D8"/>
    <w:rsid w:val="00E40099"/>
    <w:rsid w:val="00E4014C"/>
    <w:rsid w:val="00E40473"/>
    <w:rsid w:val="00E40BA9"/>
    <w:rsid w:val="00E41073"/>
    <w:rsid w:val="00E41712"/>
    <w:rsid w:val="00E41735"/>
    <w:rsid w:val="00E422E4"/>
    <w:rsid w:val="00E4262C"/>
    <w:rsid w:val="00E42C2D"/>
    <w:rsid w:val="00E42DFA"/>
    <w:rsid w:val="00E43457"/>
    <w:rsid w:val="00E43F44"/>
    <w:rsid w:val="00E44465"/>
    <w:rsid w:val="00E44493"/>
    <w:rsid w:val="00E4462B"/>
    <w:rsid w:val="00E446F1"/>
    <w:rsid w:val="00E44B9D"/>
    <w:rsid w:val="00E44BA9"/>
    <w:rsid w:val="00E45049"/>
    <w:rsid w:val="00E45145"/>
    <w:rsid w:val="00E4540C"/>
    <w:rsid w:val="00E4551D"/>
    <w:rsid w:val="00E45522"/>
    <w:rsid w:val="00E459F9"/>
    <w:rsid w:val="00E45C72"/>
    <w:rsid w:val="00E45FD0"/>
    <w:rsid w:val="00E46645"/>
    <w:rsid w:val="00E466A3"/>
    <w:rsid w:val="00E46716"/>
    <w:rsid w:val="00E46886"/>
    <w:rsid w:val="00E46B19"/>
    <w:rsid w:val="00E46B9C"/>
    <w:rsid w:val="00E4761E"/>
    <w:rsid w:val="00E476B8"/>
    <w:rsid w:val="00E47AEF"/>
    <w:rsid w:val="00E47E98"/>
    <w:rsid w:val="00E504D1"/>
    <w:rsid w:val="00E50593"/>
    <w:rsid w:val="00E50972"/>
    <w:rsid w:val="00E50B41"/>
    <w:rsid w:val="00E50D8C"/>
    <w:rsid w:val="00E51134"/>
    <w:rsid w:val="00E51BD8"/>
    <w:rsid w:val="00E51E1A"/>
    <w:rsid w:val="00E53469"/>
    <w:rsid w:val="00E53B75"/>
    <w:rsid w:val="00E54166"/>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6D57"/>
    <w:rsid w:val="00E57565"/>
    <w:rsid w:val="00E577A5"/>
    <w:rsid w:val="00E578E6"/>
    <w:rsid w:val="00E57F43"/>
    <w:rsid w:val="00E6018F"/>
    <w:rsid w:val="00E6043F"/>
    <w:rsid w:val="00E60851"/>
    <w:rsid w:val="00E60E73"/>
    <w:rsid w:val="00E6177B"/>
    <w:rsid w:val="00E6180E"/>
    <w:rsid w:val="00E6280C"/>
    <w:rsid w:val="00E628A1"/>
    <w:rsid w:val="00E62C11"/>
    <w:rsid w:val="00E63838"/>
    <w:rsid w:val="00E63C1B"/>
    <w:rsid w:val="00E642D8"/>
    <w:rsid w:val="00E64434"/>
    <w:rsid w:val="00E6470C"/>
    <w:rsid w:val="00E64D8A"/>
    <w:rsid w:val="00E651E2"/>
    <w:rsid w:val="00E653F5"/>
    <w:rsid w:val="00E659A6"/>
    <w:rsid w:val="00E66400"/>
    <w:rsid w:val="00E66993"/>
    <w:rsid w:val="00E67628"/>
    <w:rsid w:val="00E67B52"/>
    <w:rsid w:val="00E67C51"/>
    <w:rsid w:val="00E70033"/>
    <w:rsid w:val="00E709C3"/>
    <w:rsid w:val="00E70C67"/>
    <w:rsid w:val="00E70DFC"/>
    <w:rsid w:val="00E7108E"/>
    <w:rsid w:val="00E714EC"/>
    <w:rsid w:val="00E71DD5"/>
    <w:rsid w:val="00E72053"/>
    <w:rsid w:val="00E728EF"/>
    <w:rsid w:val="00E72A8C"/>
    <w:rsid w:val="00E72E82"/>
    <w:rsid w:val="00E72EFC"/>
    <w:rsid w:val="00E732B3"/>
    <w:rsid w:val="00E73586"/>
    <w:rsid w:val="00E7380B"/>
    <w:rsid w:val="00E7386E"/>
    <w:rsid w:val="00E74410"/>
    <w:rsid w:val="00E745F1"/>
    <w:rsid w:val="00E74842"/>
    <w:rsid w:val="00E74EF8"/>
    <w:rsid w:val="00E7547F"/>
    <w:rsid w:val="00E758EC"/>
    <w:rsid w:val="00E76258"/>
    <w:rsid w:val="00E7626B"/>
    <w:rsid w:val="00E7631F"/>
    <w:rsid w:val="00E76548"/>
    <w:rsid w:val="00E76553"/>
    <w:rsid w:val="00E76604"/>
    <w:rsid w:val="00E766E1"/>
    <w:rsid w:val="00E767DC"/>
    <w:rsid w:val="00E76987"/>
    <w:rsid w:val="00E76BA3"/>
    <w:rsid w:val="00E76D55"/>
    <w:rsid w:val="00E76EE5"/>
    <w:rsid w:val="00E7745F"/>
    <w:rsid w:val="00E77484"/>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CC"/>
    <w:rsid w:val="00E835E6"/>
    <w:rsid w:val="00E837CD"/>
    <w:rsid w:val="00E83AA9"/>
    <w:rsid w:val="00E84037"/>
    <w:rsid w:val="00E8478B"/>
    <w:rsid w:val="00E8497E"/>
    <w:rsid w:val="00E84ACA"/>
    <w:rsid w:val="00E84DC3"/>
    <w:rsid w:val="00E85244"/>
    <w:rsid w:val="00E85928"/>
    <w:rsid w:val="00E85BB5"/>
    <w:rsid w:val="00E86034"/>
    <w:rsid w:val="00E862DE"/>
    <w:rsid w:val="00E873CC"/>
    <w:rsid w:val="00E87822"/>
    <w:rsid w:val="00E87C9C"/>
    <w:rsid w:val="00E90395"/>
    <w:rsid w:val="00E90E49"/>
    <w:rsid w:val="00E917F9"/>
    <w:rsid w:val="00E91886"/>
    <w:rsid w:val="00E91B88"/>
    <w:rsid w:val="00E91D8B"/>
    <w:rsid w:val="00E9291C"/>
    <w:rsid w:val="00E92EA9"/>
    <w:rsid w:val="00E92F62"/>
    <w:rsid w:val="00E93DA5"/>
    <w:rsid w:val="00E93FFE"/>
    <w:rsid w:val="00E9412B"/>
    <w:rsid w:val="00E94B57"/>
    <w:rsid w:val="00E94F8A"/>
    <w:rsid w:val="00E951D6"/>
    <w:rsid w:val="00E953E4"/>
    <w:rsid w:val="00E954A3"/>
    <w:rsid w:val="00E95654"/>
    <w:rsid w:val="00E958F9"/>
    <w:rsid w:val="00E95F07"/>
    <w:rsid w:val="00E96ABC"/>
    <w:rsid w:val="00E96C23"/>
    <w:rsid w:val="00E97097"/>
    <w:rsid w:val="00E97223"/>
    <w:rsid w:val="00E97E40"/>
    <w:rsid w:val="00E97FFA"/>
    <w:rsid w:val="00EA0A6E"/>
    <w:rsid w:val="00EA0F31"/>
    <w:rsid w:val="00EA1330"/>
    <w:rsid w:val="00EA15F4"/>
    <w:rsid w:val="00EA1ACC"/>
    <w:rsid w:val="00EA1C44"/>
    <w:rsid w:val="00EA2104"/>
    <w:rsid w:val="00EA2A00"/>
    <w:rsid w:val="00EA3512"/>
    <w:rsid w:val="00EA476C"/>
    <w:rsid w:val="00EA4BBD"/>
    <w:rsid w:val="00EA4CF6"/>
    <w:rsid w:val="00EA4E77"/>
    <w:rsid w:val="00EA4F15"/>
    <w:rsid w:val="00EA55F9"/>
    <w:rsid w:val="00EA57C5"/>
    <w:rsid w:val="00EA5C6C"/>
    <w:rsid w:val="00EA5CEB"/>
    <w:rsid w:val="00EA63C3"/>
    <w:rsid w:val="00EA6651"/>
    <w:rsid w:val="00EA6DC3"/>
    <w:rsid w:val="00EA70DC"/>
    <w:rsid w:val="00EA73C1"/>
    <w:rsid w:val="00EA78D4"/>
    <w:rsid w:val="00EA7A19"/>
    <w:rsid w:val="00EA7A41"/>
    <w:rsid w:val="00EA7E1C"/>
    <w:rsid w:val="00EA7ECE"/>
    <w:rsid w:val="00EB077B"/>
    <w:rsid w:val="00EB0EBF"/>
    <w:rsid w:val="00EB126D"/>
    <w:rsid w:val="00EB1A19"/>
    <w:rsid w:val="00EB1E53"/>
    <w:rsid w:val="00EB2544"/>
    <w:rsid w:val="00EB2562"/>
    <w:rsid w:val="00EB268A"/>
    <w:rsid w:val="00EB2960"/>
    <w:rsid w:val="00EB3003"/>
    <w:rsid w:val="00EB347C"/>
    <w:rsid w:val="00EB38CC"/>
    <w:rsid w:val="00EB3F72"/>
    <w:rsid w:val="00EB46F6"/>
    <w:rsid w:val="00EB4A31"/>
    <w:rsid w:val="00EB4BB5"/>
    <w:rsid w:val="00EB4EA2"/>
    <w:rsid w:val="00EB5DF7"/>
    <w:rsid w:val="00EB645E"/>
    <w:rsid w:val="00EB64A7"/>
    <w:rsid w:val="00EB64C3"/>
    <w:rsid w:val="00EB66DB"/>
    <w:rsid w:val="00EB6AE7"/>
    <w:rsid w:val="00EB6EE5"/>
    <w:rsid w:val="00EB6FDB"/>
    <w:rsid w:val="00EB76CB"/>
    <w:rsid w:val="00EB776A"/>
    <w:rsid w:val="00EB7AD7"/>
    <w:rsid w:val="00EB7E04"/>
    <w:rsid w:val="00EC052D"/>
    <w:rsid w:val="00EC0713"/>
    <w:rsid w:val="00EC0A9A"/>
    <w:rsid w:val="00EC0DE3"/>
    <w:rsid w:val="00EC13FD"/>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5FE0"/>
    <w:rsid w:val="00EC6824"/>
    <w:rsid w:val="00EC6CA4"/>
    <w:rsid w:val="00EC712E"/>
    <w:rsid w:val="00EC71CE"/>
    <w:rsid w:val="00EC76C8"/>
    <w:rsid w:val="00EC795F"/>
    <w:rsid w:val="00EC7A3C"/>
    <w:rsid w:val="00EC7A60"/>
    <w:rsid w:val="00ED02B8"/>
    <w:rsid w:val="00ED0DF5"/>
    <w:rsid w:val="00ED0FA8"/>
    <w:rsid w:val="00ED1006"/>
    <w:rsid w:val="00ED11DD"/>
    <w:rsid w:val="00ED1644"/>
    <w:rsid w:val="00ED1D44"/>
    <w:rsid w:val="00ED231D"/>
    <w:rsid w:val="00ED2769"/>
    <w:rsid w:val="00ED29EA"/>
    <w:rsid w:val="00ED29FF"/>
    <w:rsid w:val="00ED314F"/>
    <w:rsid w:val="00ED31F8"/>
    <w:rsid w:val="00ED3915"/>
    <w:rsid w:val="00ED3F10"/>
    <w:rsid w:val="00ED43F6"/>
    <w:rsid w:val="00ED5329"/>
    <w:rsid w:val="00ED565A"/>
    <w:rsid w:val="00ED5A6E"/>
    <w:rsid w:val="00ED5DA0"/>
    <w:rsid w:val="00ED5EC8"/>
    <w:rsid w:val="00ED5F71"/>
    <w:rsid w:val="00ED5FEE"/>
    <w:rsid w:val="00ED60D7"/>
    <w:rsid w:val="00ED6579"/>
    <w:rsid w:val="00ED6C82"/>
    <w:rsid w:val="00ED6E7E"/>
    <w:rsid w:val="00ED7C83"/>
    <w:rsid w:val="00ED7D47"/>
    <w:rsid w:val="00ED7E04"/>
    <w:rsid w:val="00ED7EDC"/>
    <w:rsid w:val="00EE021B"/>
    <w:rsid w:val="00EE0A6D"/>
    <w:rsid w:val="00EE0D0A"/>
    <w:rsid w:val="00EE116F"/>
    <w:rsid w:val="00EE11F0"/>
    <w:rsid w:val="00EE1DE7"/>
    <w:rsid w:val="00EE259D"/>
    <w:rsid w:val="00EE280C"/>
    <w:rsid w:val="00EE2B75"/>
    <w:rsid w:val="00EE2E29"/>
    <w:rsid w:val="00EE3262"/>
    <w:rsid w:val="00EE32FA"/>
    <w:rsid w:val="00EE33FC"/>
    <w:rsid w:val="00EE34D3"/>
    <w:rsid w:val="00EE4339"/>
    <w:rsid w:val="00EE457C"/>
    <w:rsid w:val="00EE6737"/>
    <w:rsid w:val="00EE6A4F"/>
    <w:rsid w:val="00EE728D"/>
    <w:rsid w:val="00EE731C"/>
    <w:rsid w:val="00EE7B91"/>
    <w:rsid w:val="00EE7BB0"/>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AFC"/>
    <w:rsid w:val="00EF3CE4"/>
    <w:rsid w:val="00EF3E17"/>
    <w:rsid w:val="00EF3EEC"/>
    <w:rsid w:val="00EF433D"/>
    <w:rsid w:val="00EF44F1"/>
    <w:rsid w:val="00EF5787"/>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61FC"/>
    <w:rsid w:val="00F069F7"/>
    <w:rsid w:val="00F06C67"/>
    <w:rsid w:val="00F06DFD"/>
    <w:rsid w:val="00F071D1"/>
    <w:rsid w:val="00F07533"/>
    <w:rsid w:val="00F076D1"/>
    <w:rsid w:val="00F078B8"/>
    <w:rsid w:val="00F07BE1"/>
    <w:rsid w:val="00F10629"/>
    <w:rsid w:val="00F10DB6"/>
    <w:rsid w:val="00F11176"/>
    <w:rsid w:val="00F1182B"/>
    <w:rsid w:val="00F12431"/>
    <w:rsid w:val="00F12563"/>
    <w:rsid w:val="00F129DE"/>
    <w:rsid w:val="00F12CAD"/>
    <w:rsid w:val="00F1344C"/>
    <w:rsid w:val="00F13F68"/>
    <w:rsid w:val="00F1425E"/>
    <w:rsid w:val="00F1469E"/>
    <w:rsid w:val="00F147D2"/>
    <w:rsid w:val="00F14CDA"/>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D98"/>
    <w:rsid w:val="00F17F5E"/>
    <w:rsid w:val="00F200AB"/>
    <w:rsid w:val="00F209B7"/>
    <w:rsid w:val="00F20A20"/>
    <w:rsid w:val="00F20A21"/>
    <w:rsid w:val="00F21237"/>
    <w:rsid w:val="00F2168B"/>
    <w:rsid w:val="00F21742"/>
    <w:rsid w:val="00F2177A"/>
    <w:rsid w:val="00F21F34"/>
    <w:rsid w:val="00F21FC3"/>
    <w:rsid w:val="00F22BD5"/>
    <w:rsid w:val="00F23336"/>
    <w:rsid w:val="00F236A3"/>
    <w:rsid w:val="00F2376F"/>
    <w:rsid w:val="00F238CA"/>
    <w:rsid w:val="00F243B0"/>
    <w:rsid w:val="00F243D8"/>
    <w:rsid w:val="00F247A7"/>
    <w:rsid w:val="00F249AC"/>
    <w:rsid w:val="00F24C55"/>
    <w:rsid w:val="00F25017"/>
    <w:rsid w:val="00F2502B"/>
    <w:rsid w:val="00F25AA0"/>
    <w:rsid w:val="00F260A9"/>
    <w:rsid w:val="00F274D1"/>
    <w:rsid w:val="00F27843"/>
    <w:rsid w:val="00F27F0E"/>
    <w:rsid w:val="00F27FE2"/>
    <w:rsid w:val="00F30828"/>
    <w:rsid w:val="00F3086B"/>
    <w:rsid w:val="00F30C26"/>
    <w:rsid w:val="00F30EB0"/>
    <w:rsid w:val="00F313D6"/>
    <w:rsid w:val="00F316F8"/>
    <w:rsid w:val="00F3206F"/>
    <w:rsid w:val="00F3232C"/>
    <w:rsid w:val="00F328FA"/>
    <w:rsid w:val="00F333B7"/>
    <w:rsid w:val="00F3340B"/>
    <w:rsid w:val="00F3396A"/>
    <w:rsid w:val="00F33D16"/>
    <w:rsid w:val="00F33FF8"/>
    <w:rsid w:val="00F340F0"/>
    <w:rsid w:val="00F34CF2"/>
    <w:rsid w:val="00F353CC"/>
    <w:rsid w:val="00F35991"/>
    <w:rsid w:val="00F35DDA"/>
    <w:rsid w:val="00F36616"/>
    <w:rsid w:val="00F3676D"/>
    <w:rsid w:val="00F36862"/>
    <w:rsid w:val="00F36967"/>
    <w:rsid w:val="00F36BBE"/>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330A"/>
    <w:rsid w:val="00F43914"/>
    <w:rsid w:val="00F43A93"/>
    <w:rsid w:val="00F43C36"/>
    <w:rsid w:val="00F43D4B"/>
    <w:rsid w:val="00F43E2F"/>
    <w:rsid w:val="00F43E32"/>
    <w:rsid w:val="00F444B1"/>
    <w:rsid w:val="00F44CC0"/>
    <w:rsid w:val="00F45173"/>
    <w:rsid w:val="00F4578F"/>
    <w:rsid w:val="00F46683"/>
    <w:rsid w:val="00F468E9"/>
    <w:rsid w:val="00F46EF1"/>
    <w:rsid w:val="00F4757D"/>
    <w:rsid w:val="00F475BD"/>
    <w:rsid w:val="00F4766C"/>
    <w:rsid w:val="00F47695"/>
    <w:rsid w:val="00F47C04"/>
    <w:rsid w:val="00F47D0F"/>
    <w:rsid w:val="00F47F68"/>
    <w:rsid w:val="00F5060E"/>
    <w:rsid w:val="00F507D1"/>
    <w:rsid w:val="00F50C74"/>
    <w:rsid w:val="00F50DEC"/>
    <w:rsid w:val="00F511C3"/>
    <w:rsid w:val="00F51253"/>
    <w:rsid w:val="00F519CE"/>
    <w:rsid w:val="00F51ADA"/>
    <w:rsid w:val="00F51B6E"/>
    <w:rsid w:val="00F51CAE"/>
    <w:rsid w:val="00F51D77"/>
    <w:rsid w:val="00F5386D"/>
    <w:rsid w:val="00F54174"/>
    <w:rsid w:val="00F54A7B"/>
    <w:rsid w:val="00F555C3"/>
    <w:rsid w:val="00F5594B"/>
    <w:rsid w:val="00F55BDD"/>
    <w:rsid w:val="00F562D0"/>
    <w:rsid w:val="00F56388"/>
    <w:rsid w:val="00F56E25"/>
    <w:rsid w:val="00F57B39"/>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F69"/>
    <w:rsid w:val="00F72128"/>
    <w:rsid w:val="00F725E2"/>
    <w:rsid w:val="00F72A4C"/>
    <w:rsid w:val="00F72B72"/>
    <w:rsid w:val="00F72E89"/>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3A11"/>
    <w:rsid w:val="00F83C43"/>
    <w:rsid w:val="00F8456C"/>
    <w:rsid w:val="00F84798"/>
    <w:rsid w:val="00F853DF"/>
    <w:rsid w:val="00F856A7"/>
    <w:rsid w:val="00F8572F"/>
    <w:rsid w:val="00F859D8"/>
    <w:rsid w:val="00F863AF"/>
    <w:rsid w:val="00F8678E"/>
    <w:rsid w:val="00F868F5"/>
    <w:rsid w:val="00F86B15"/>
    <w:rsid w:val="00F86BC2"/>
    <w:rsid w:val="00F86BE3"/>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AA9"/>
    <w:rsid w:val="00F93BE2"/>
    <w:rsid w:val="00F93C16"/>
    <w:rsid w:val="00F940BD"/>
    <w:rsid w:val="00F9444B"/>
    <w:rsid w:val="00F949E0"/>
    <w:rsid w:val="00F94E18"/>
    <w:rsid w:val="00F94F64"/>
    <w:rsid w:val="00F9542D"/>
    <w:rsid w:val="00F95613"/>
    <w:rsid w:val="00F95AE1"/>
    <w:rsid w:val="00F960B0"/>
    <w:rsid w:val="00F963E1"/>
    <w:rsid w:val="00F96985"/>
    <w:rsid w:val="00F96D99"/>
    <w:rsid w:val="00F96EA0"/>
    <w:rsid w:val="00F9726B"/>
    <w:rsid w:val="00F97838"/>
    <w:rsid w:val="00F97EFC"/>
    <w:rsid w:val="00F97F10"/>
    <w:rsid w:val="00F97F75"/>
    <w:rsid w:val="00FA082F"/>
    <w:rsid w:val="00FA0F89"/>
    <w:rsid w:val="00FA18F6"/>
    <w:rsid w:val="00FA1BF8"/>
    <w:rsid w:val="00FA1CD8"/>
    <w:rsid w:val="00FA29E6"/>
    <w:rsid w:val="00FA2BB3"/>
    <w:rsid w:val="00FA317C"/>
    <w:rsid w:val="00FA329A"/>
    <w:rsid w:val="00FA33FF"/>
    <w:rsid w:val="00FA36BF"/>
    <w:rsid w:val="00FA3914"/>
    <w:rsid w:val="00FA39E7"/>
    <w:rsid w:val="00FA3C01"/>
    <w:rsid w:val="00FA3D46"/>
    <w:rsid w:val="00FA4186"/>
    <w:rsid w:val="00FA4802"/>
    <w:rsid w:val="00FA4CAA"/>
    <w:rsid w:val="00FA52D7"/>
    <w:rsid w:val="00FA62CF"/>
    <w:rsid w:val="00FA66A8"/>
    <w:rsid w:val="00FA6A75"/>
    <w:rsid w:val="00FA6CE1"/>
    <w:rsid w:val="00FA74EB"/>
    <w:rsid w:val="00FA7867"/>
    <w:rsid w:val="00FA7D3B"/>
    <w:rsid w:val="00FB019F"/>
    <w:rsid w:val="00FB0DA7"/>
    <w:rsid w:val="00FB10AA"/>
    <w:rsid w:val="00FB145F"/>
    <w:rsid w:val="00FB1740"/>
    <w:rsid w:val="00FB1BBD"/>
    <w:rsid w:val="00FB1D1B"/>
    <w:rsid w:val="00FB25A4"/>
    <w:rsid w:val="00FB2D17"/>
    <w:rsid w:val="00FB300A"/>
    <w:rsid w:val="00FB302A"/>
    <w:rsid w:val="00FB3199"/>
    <w:rsid w:val="00FB4036"/>
    <w:rsid w:val="00FB406A"/>
    <w:rsid w:val="00FB40EF"/>
    <w:rsid w:val="00FB434D"/>
    <w:rsid w:val="00FB47C1"/>
    <w:rsid w:val="00FB4A6C"/>
    <w:rsid w:val="00FB4C80"/>
    <w:rsid w:val="00FB5320"/>
    <w:rsid w:val="00FB673B"/>
    <w:rsid w:val="00FB6A6A"/>
    <w:rsid w:val="00FB702D"/>
    <w:rsid w:val="00FB752A"/>
    <w:rsid w:val="00FB79DD"/>
    <w:rsid w:val="00FB7EC9"/>
    <w:rsid w:val="00FC011C"/>
    <w:rsid w:val="00FC0981"/>
    <w:rsid w:val="00FC0E28"/>
    <w:rsid w:val="00FC2F7A"/>
    <w:rsid w:val="00FC31AE"/>
    <w:rsid w:val="00FC35BF"/>
    <w:rsid w:val="00FC415D"/>
    <w:rsid w:val="00FC43C3"/>
    <w:rsid w:val="00FC4A95"/>
    <w:rsid w:val="00FC4C31"/>
    <w:rsid w:val="00FC4CA0"/>
    <w:rsid w:val="00FC5CFE"/>
    <w:rsid w:val="00FC5E34"/>
    <w:rsid w:val="00FC66FF"/>
    <w:rsid w:val="00FC6A42"/>
    <w:rsid w:val="00FC6B40"/>
    <w:rsid w:val="00FC6CDE"/>
    <w:rsid w:val="00FC7099"/>
    <w:rsid w:val="00FC71B4"/>
    <w:rsid w:val="00FC7218"/>
    <w:rsid w:val="00FC7429"/>
    <w:rsid w:val="00FC7893"/>
    <w:rsid w:val="00FC7CA2"/>
    <w:rsid w:val="00FD076F"/>
    <w:rsid w:val="00FD07F6"/>
    <w:rsid w:val="00FD102D"/>
    <w:rsid w:val="00FD1763"/>
    <w:rsid w:val="00FD1D4F"/>
    <w:rsid w:val="00FD1EC8"/>
    <w:rsid w:val="00FD2494"/>
    <w:rsid w:val="00FD2D08"/>
    <w:rsid w:val="00FD2D9E"/>
    <w:rsid w:val="00FD45CC"/>
    <w:rsid w:val="00FD47ED"/>
    <w:rsid w:val="00FD4931"/>
    <w:rsid w:val="00FD4B10"/>
    <w:rsid w:val="00FD52A9"/>
    <w:rsid w:val="00FD579F"/>
    <w:rsid w:val="00FD5805"/>
    <w:rsid w:val="00FD5AB5"/>
    <w:rsid w:val="00FD5F40"/>
    <w:rsid w:val="00FD6026"/>
    <w:rsid w:val="00FD631A"/>
    <w:rsid w:val="00FD69C4"/>
    <w:rsid w:val="00FD7050"/>
    <w:rsid w:val="00FD732A"/>
    <w:rsid w:val="00FD74DB"/>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4326"/>
    <w:rsid w:val="00FE49ED"/>
    <w:rsid w:val="00FE4C7B"/>
    <w:rsid w:val="00FE4F8E"/>
    <w:rsid w:val="00FE5EE6"/>
    <w:rsid w:val="00FE6780"/>
    <w:rsid w:val="00FE67D8"/>
    <w:rsid w:val="00FE72A1"/>
    <w:rsid w:val="00FE7336"/>
    <w:rsid w:val="00FE787C"/>
    <w:rsid w:val="00FE7A36"/>
    <w:rsid w:val="00FE7FD8"/>
    <w:rsid w:val="00FF0D3D"/>
    <w:rsid w:val="00FF0E60"/>
    <w:rsid w:val="00FF1199"/>
    <w:rsid w:val="00FF15AA"/>
    <w:rsid w:val="00FF2207"/>
    <w:rsid w:val="00FF273C"/>
    <w:rsid w:val="00FF27FB"/>
    <w:rsid w:val="00FF291C"/>
    <w:rsid w:val="00FF2ABF"/>
    <w:rsid w:val="00FF3004"/>
    <w:rsid w:val="00FF330B"/>
    <w:rsid w:val="00FF38A3"/>
    <w:rsid w:val="00FF3C8F"/>
    <w:rsid w:val="00FF3E64"/>
    <w:rsid w:val="00FF4197"/>
    <w:rsid w:val="00FF45A5"/>
    <w:rsid w:val="00FF460F"/>
    <w:rsid w:val="00FF497F"/>
    <w:rsid w:val="00FF4B8D"/>
    <w:rsid w:val="00FF4BBB"/>
    <w:rsid w:val="00FF5214"/>
    <w:rsid w:val="00FF5C91"/>
    <w:rsid w:val="00FF67CD"/>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8" w:qFormat="1"/>
    <w:lsdException w:name="footnote reference" w:uiPriority="21"/>
    <w:lsdException w:name="annotation reference"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47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2"/>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4"/>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9"/>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5"/>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6"/>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8"/>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20"/>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7"/>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21"/>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3"/>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669065906">
          <w:marLeft w:val="252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760760248">
          <w:marLeft w:val="547"/>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620889406">
          <w:marLeft w:val="1166"/>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A3E42A-4D6E-41B4-BCE1-836BA6F39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A84D9-A239-48BB-9EF8-246DD26FA435}">
  <ds:schemaRefs>
    <ds:schemaRef ds:uri="http://www.w3.org/XML/1998/namespace"/>
    <ds:schemaRef ds:uri="http://schemas.microsoft.com/office/2006/documentManagement/types"/>
    <ds:schemaRef ds:uri="http://schemas.microsoft.com/sharepoint/v3"/>
    <ds:schemaRef ds:uri="http://purl.org/dc/terms/"/>
    <ds:schemaRef ds:uri="http://schemas.microsoft.com/office/infopath/2007/PartnerControls"/>
    <ds:schemaRef ds:uri="http://schemas.microsoft.com/office/2006/metadata/properties"/>
    <ds:schemaRef ds:uri="9b239327-9e80-40e4-b1b7-4394fed77a33"/>
    <ds:schemaRef ds:uri="http://schemas.openxmlformats.org/package/2006/metadata/core-properties"/>
    <ds:schemaRef ds:uri="http://purl.org/dc/dcmitype/"/>
    <ds:schemaRef ds:uri="d8762117-8292-4133-b1c7-eab5c6487cfd"/>
    <ds:schemaRef ds:uri="2f282d3b-eb4a-4b09-b61f-b9593442e286"/>
    <ds:schemaRef ds:uri="http://purl.org/dc/elements/1.1/"/>
  </ds:schemaRefs>
</ds:datastoreItem>
</file>

<file path=customXml/itemProps3.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28995</TotalTime>
  <Pages>9</Pages>
  <Words>3803</Words>
  <Characters>21588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698</cp:revision>
  <cp:lastPrinted>2008-01-30T22:09:00Z</cp:lastPrinted>
  <dcterms:created xsi:type="dcterms:W3CDTF">2022-09-15T11:10:00Z</dcterms:created>
  <dcterms:modified xsi:type="dcterms:W3CDTF">2023-08-10T14:05:00Z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